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503794</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Ku bands for NR NTN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7.11.6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7"/>
        <w:rPr>
          <w:lang w:val="en-US"/>
        </w:rPr>
      </w:pPr>
      <w:r>
        <w:rPr>
          <w:lang w:val="en-US"/>
        </w:rPr>
        <w:t>Intro</w:t>
      </w:r>
      <w:r>
        <w:rPr>
          <w:rStyle w:val="78"/>
          <w:lang w:val="en-US"/>
        </w:rPr>
        <w:t>ductio</w:t>
      </w:r>
      <w:r>
        <w:rPr>
          <w:lang w:val="en-US"/>
        </w:rPr>
        <w:t>n</w:t>
      </w:r>
    </w:p>
    <w:p>
      <w:pPr>
        <w:rPr>
          <w:rFonts w:hint="default"/>
          <w:lang w:val="en-US" w:eastAsia="zh-CN"/>
        </w:rPr>
      </w:pPr>
      <w:r>
        <w:rPr>
          <w:rFonts w:hint="eastAsia" w:eastAsia="宋体"/>
          <w:sz w:val="22"/>
          <w:szCs w:val="20"/>
          <w:lang w:val="en-US" w:eastAsia="zh-CN"/>
        </w:rPr>
        <w:t>At RAN #107 meeting the revised WI “</w:t>
      </w:r>
      <w:r>
        <w:rPr>
          <w:rFonts w:hint="eastAsia" w:eastAsia="宋体"/>
          <w:sz w:val="22"/>
          <w:lang w:val="en-US" w:eastAsia="zh-CN"/>
        </w:rPr>
        <w:t>Introduction of Ku bands for NR NTN</w:t>
      </w:r>
      <w:r>
        <w:rPr>
          <w:rFonts w:hint="eastAsia" w:eastAsia="宋体"/>
          <w:sz w:val="22"/>
          <w:szCs w:val="20"/>
          <w:lang w:val="en-US" w:eastAsia="zh-CN"/>
        </w:rPr>
        <w:t xml:space="preserve">” [1] was approved.  In the WID, Ku bands have been introduced for NR NTN with the mobile VSAT UE. </w:t>
      </w:r>
      <w:r>
        <w:rPr>
          <w:rFonts w:hint="eastAsia" w:eastAsia="宋体" w:cs="Times New Roman"/>
          <w:sz w:val="22"/>
          <w:lang w:val="en-US" w:eastAsia="zh-CN"/>
        </w:rPr>
        <w:t>In #114 meeting we will specify the scenarios and general view on the topics</w:t>
      </w:r>
      <w:r>
        <w:rPr>
          <w:rFonts w:hint="eastAsia" w:ascii="Times New Roman" w:hAnsi="Times New Roman" w:eastAsia="宋体" w:cs="Times New Roman"/>
          <w:sz w:val="22"/>
          <w:lang w:val="en-US" w:eastAsia="zh-CN"/>
        </w:rPr>
        <w:t xml:space="preserve">. </w:t>
      </w:r>
      <w:r>
        <w:rPr>
          <w:rFonts w:hint="eastAsia"/>
          <w:lang w:val="en-US" w:eastAsia="zh-CN"/>
        </w:rPr>
        <w:t>In current WID description, RAN4</w:t>
      </w:r>
      <w:r>
        <w:rPr>
          <w:rFonts w:hint="default"/>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bCs/>
                <w:sz w:val="20"/>
                <w:szCs w:val="20"/>
                <w:lang w:val="en-US"/>
              </w:rPr>
            </w:pPr>
            <w:r>
              <w:rPr>
                <w:rFonts w:hint="default" w:ascii="Times New Roman" w:hAnsi="Times New Roman" w:eastAsia="PMingLiU" w:cs="Times New Roman"/>
                <w:iCs/>
                <w:kern w:val="0"/>
                <w:sz w:val="20"/>
                <w:szCs w:val="20"/>
                <w:lang w:val="en-US" w:eastAsia="zh-CN" w:bidi="ar"/>
              </w:rPr>
              <w:t>The objectives are: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Use the regulation requirements in ITU Regions 1, 2 and 3 to identify relevant adjacent band co-existence scenarios for NTN Ku Band covering the following frequency ranges, considering targeted deployment scenarios:</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2</w:t>
            </w:r>
            <w:r>
              <w:rPr>
                <w:rFonts w:hint="default" w:ascii="Times New Roman" w:hAnsi="Times New Roman" w:eastAsia="PMingLiU" w:cs="Times New Roman"/>
                <w:sz w:val="20"/>
                <w:szCs w:val="20"/>
                <w:lang w:val="en-US" w:eastAsia="en-US"/>
              </w:rPr>
              <w:t xml:space="preserve"> (The US is in scope for the WI using the current allocation of the Ku band. The band introduction in specification is pending FCC decision)</w:t>
            </w:r>
            <w:r>
              <w:rPr>
                <w:rFonts w:hint="default" w:ascii="Times New Roman" w:hAnsi="Times New Roman" w:eastAsia="PMingLiU" w:cs="Times New Roman"/>
                <w:bCs/>
                <w:sz w:val="20"/>
                <w:szCs w:val="20"/>
                <w:lang w:val="en-US" w:eastAsia="en-US"/>
              </w:rPr>
              <w: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12.75 - 13.25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 xml:space="preserve">For ITU regions 2 </w:t>
            </w:r>
            <w:r>
              <w:rPr>
                <w:rFonts w:hint="default" w:ascii="Times New Roman" w:hAnsi="Times New Roman" w:eastAsia="PMingLiU" w:cs="Times New Roman"/>
                <w:sz w:val="20"/>
                <w:szCs w:val="20"/>
                <w:lang w:val="en-US" w:eastAsia="en-US"/>
              </w:rPr>
              <w:t>(The US is in scope for the WI using the current allocation of the Ku band. The band introduction in specification is pending FCC decision):</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12.70 - 13.25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Note: Appropriate Tx/Rx separation for uplink downlink pairing will be required.</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Specify RF requirements for mobile VSAT served by NGSO and GSO based on existing mobile VSAT type 5 RF requirements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sz w:val="20"/>
                <w:szCs w:val="20"/>
                <w:lang w:val="en-US" w:eastAsia="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lang w:val="en-US"/>
              </w:rPr>
            </w:pPr>
            <w:r>
              <w:rPr>
                <w:rFonts w:hint="default"/>
                <w:sz w:val="20"/>
                <w:szCs w:val="20"/>
                <w:lang w:val="en-US"/>
              </w:rPr>
              <w:t>Priority 1: for all ITU regions, define Ku band #1a and #1b for the downlink block and uplink block B. D</w:t>
            </w:r>
            <w:r>
              <w:rPr>
                <w:rFonts w:hint="default"/>
                <w:sz w:val="20"/>
                <w:szCs w:val="20"/>
                <w:lang w:val="en-US" w:eastAsia="zh-TW"/>
              </w:rPr>
              <w:t>efine two sets of bands, one for FR1 numerology and the other for FR2 numerology, including the support of the following:</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Ku band #1a and #1b as FR1-NTN supporting</w:t>
            </w:r>
            <w:r>
              <w:rPr>
                <w:rFonts w:hint="default"/>
                <w:sz w:val="20"/>
                <w:szCs w:val="20"/>
                <w:highlight w:val="yellow"/>
                <w:lang w:val="en-US" w:eastAsia="zh-TW"/>
              </w:rPr>
              <w:t xml:space="preserve"> </w:t>
            </w:r>
            <w:r>
              <w:rPr>
                <w:rFonts w:hint="default"/>
                <w:sz w:val="20"/>
                <w:szCs w:val="20"/>
                <w:highlight w:val="yellow"/>
                <w:lang w:val="en-US"/>
              </w:rPr>
              <w:t>10 MHz</w:t>
            </w:r>
            <w:r>
              <w:rPr>
                <w:rFonts w:hint="default"/>
                <w:sz w:val="20"/>
                <w:szCs w:val="20"/>
                <w:highlight w:val="yellow"/>
                <w:lang w:val="en-US" w:eastAsia="zh-TW"/>
              </w:rPr>
              <w:t>,</w:t>
            </w:r>
            <w:r>
              <w:rPr>
                <w:rFonts w:hint="default"/>
                <w:sz w:val="20"/>
                <w:szCs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keepNext w:val="0"/>
              <w:keepLines w:val="0"/>
              <w:widowControl/>
              <w:numPr>
                <w:ilvl w:val="2"/>
                <w:numId w:val="4"/>
              </w:numPr>
              <w:suppressLineNumbers w:val="0"/>
              <w:overflowPunct/>
              <w:autoSpaceDE/>
              <w:autoSpaceDN w:val="0"/>
              <w:adjustRightInd/>
              <w:spacing w:before="0" w:beforeAutospacing="0" w:after="160" w:afterAutospacing="0" w:line="256" w:lineRule="auto"/>
              <w:ind w:left="2160" w:right="0" w:hanging="360"/>
              <w:contextualSpacing/>
              <w:jc w:val="both"/>
              <w:rPr>
                <w:rFonts w:hint="default"/>
                <w:sz w:val="20"/>
                <w:szCs w:val="20"/>
                <w:highlight w:val="yellow"/>
                <w:lang w:val="en-US"/>
              </w:rPr>
            </w:pPr>
            <w:r>
              <w:rPr>
                <w:rFonts w:hint="default"/>
                <w:sz w:val="20"/>
                <w:szCs w:val="20"/>
                <w:highlight w:val="yellow"/>
                <w:lang w:val="en-US"/>
              </w:rPr>
              <w:t>Note: Same subcarrier spacing is assumed for SSB and data channels</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Ku band #1a and #1b as FR2-NTN supporting 50 MHz, 100 MHz, 200 MHz, 400 MHz (120kHz SCS only) channel bandwidths with 120 kHz subcarrier spacing</w:t>
            </w:r>
            <w:r>
              <w:rPr>
                <w:rFonts w:hint="default"/>
                <w:sz w:val="20"/>
                <w:szCs w:val="20"/>
                <w:highlight w:val="yellow"/>
                <w:lang w:val="en-US" w:eastAsia="zh-TW"/>
              </w:rPr>
              <w:t>.</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eastAsia="zh-TW"/>
              </w:rPr>
              <w:t>Note: Simultaneous operation of FR1-NTN and FR2-NTN numerology is not supported in the UE</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lang w:val="en-US"/>
              </w:rPr>
            </w:pPr>
            <w:r>
              <w:rPr>
                <w:rFonts w:hint="default"/>
                <w:sz w:val="20"/>
                <w:szCs w:val="20"/>
                <w:lang w:val="en-US"/>
              </w:rPr>
              <w:t>Priority 2: for all ITU regions excluding the US in region 2, using the approach in Priority 1, define Ku band #2a and #2b as appropriate for the downlink block and uplink block A.</w:t>
            </w:r>
          </w:p>
          <w:p>
            <w:pPr>
              <w:pStyle w:val="29"/>
              <w:keepNext w:val="0"/>
              <w:keepLines w:val="0"/>
              <w:widowControl/>
              <w:numPr>
                <w:ilvl w:val="0"/>
                <w:numId w:val="4"/>
              </w:numPr>
              <w:suppressLineNumbers w:val="0"/>
              <w:overflowPunct/>
              <w:autoSpaceDE/>
              <w:autoSpaceDN w:val="0"/>
              <w:adjustRightInd/>
              <w:spacing w:before="0" w:beforeAutospacing="0" w:after="0" w:afterAutospacing="0" w:line="256" w:lineRule="auto"/>
              <w:ind w:left="720" w:right="0" w:hanging="360"/>
              <w:contextualSpacing/>
              <w:jc w:val="both"/>
              <w:rPr>
                <w:rFonts w:hint="default"/>
                <w:sz w:val="20"/>
                <w:szCs w:val="20"/>
                <w:highlight w:val="yellow"/>
                <w:lang w:val="en-US"/>
              </w:rPr>
            </w:pPr>
            <w:r>
              <w:rPr>
                <w:rFonts w:hint="default"/>
                <w:sz w:val="20"/>
                <w:szCs w:val="20"/>
                <w:highlight w:val="yellow"/>
                <w:lang w:val="en-US"/>
              </w:rPr>
              <w:t>Specify RRM requirements including timing requirements for mobile VSAT served by NGSO</w:t>
            </w:r>
          </w:p>
          <w:p>
            <w:pPr>
              <w:pStyle w:val="29"/>
              <w:keepNext w:val="0"/>
              <w:keepLines w:val="0"/>
              <w:widowControl/>
              <w:numPr>
                <w:ilvl w:val="1"/>
                <w:numId w:val="4"/>
              </w:numPr>
              <w:suppressLineNumbers w:val="0"/>
              <w:overflowPunct/>
              <w:autoSpaceDE/>
              <w:autoSpaceDN w:val="0"/>
              <w:adjustRightInd/>
              <w:spacing w:before="0" w:beforeAutospacing="0" w:after="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NOTE:</w:t>
            </w:r>
            <w:r>
              <w:rPr>
                <w:rFonts w:hint="default"/>
                <w:sz w:val="20"/>
                <w:szCs w:val="20"/>
                <w:highlight w:val="yellow"/>
                <w:lang w:val="en-US"/>
              </w:rPr>
              <w:tab/>
            </w:r>
            <w:r>
              <w:rPr>
                <w:rFonts w:hint="default"/>
                <w:sz w:val="20"/>
                <w:szCs w:val="20"/>
                <w:highlight w:val="yellow"/>
                <w:lang w:val="en-US"/>
              </w:rPr>
              <w:t>RRM requirements are defined for VSAT supporting FR1-NTN operation only, or for FR2-NTN operation only.</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pStyle w:val="77"/>
        <w:rPr>
          <w:rFonts w:hint="eastAsia"/>
          <w:lang w:val="en-US" w:eastAsia="zh-CN"/>
        </w:rPr>
      </w:pPr>
      <w:r>
        <w:rPr>
          <w:lang w:val="en-US"/>
        </w:rPr>
        <w:t>Discussion</w:t>
      </w:r>
    </w:p>
    <w:p>
      <w:pPr>
        <w:jc w:val="both"/>
        <w:rPr>
          <w:rFonts w:hint="default"/>
          <w:lang w:val="en-US" w:eastAsia="zh-CN"/>
        </w:rPr>
      </w:pPr>
      <w:r>
        <w:rPr>
          <w:rFonts w:hint="eastAsia"/>
          <w:lang w:val="en-US" w:eastAsia="zh-CN"/>
        </w:rPr>
        <w:t xml:space="preserve">In the last meeting, RAN4 only discussed the general scope for NR NTN on Ku bands and the uplink transmit timing requirements. In this paper, we will provide the other potential RRM requirements for NR NTN on Ku bands. Furthermore, considering the BDaT session also had the agreements on SCS for downlink SSB signals and uplink data transmission, we will supplement the concrete requirements like uplink timing requirements etc. </w:t>
      </w:r>
    </w:p>
    <w:p>
      <w:pPr>
        <w:pStyle w:val="79"/>
        <w:numPr>
          <w:ilvl w:val="1"/>
          <w:numId w:val="0"/>
        </w:numPr>
        <w:bidi w:val="0"/>
        <w:rPr>
          <w:rFonts w:hint="eastAsia"/>
          <w:lang w:val="en-US" w:eastAsia="zh-CN"/>
        </w:rPr>
      </w:pPr>
      <w:r>
        <w:rPr>
          <w:rFonts w:hint="eastAsia"/>
          <w:lang w:val="en-US" w:eastAsia="zh-CN"/>
        </w:rPr>
        <w:t>2.1 RRM scope for NR NTN on Ku bands</w:t>
      </w:r>
    </w:p>
    <w:p>
      <w:pPr>
        <w:rPr>
          <w:rFonts w:hint="eastAsia"/>
          <w:lang w:val="en-US" w:eastAsia="zh-CN"/>
        </w:rPr>
      </w:pPr>
      <w:r>
        <w:rPr>
          <w:rFonts w:hint="eastAsia"/>
          <w:lang w:val="en-US" w:eastAsia="zh-CN"/>
        </w:rPr>
        <w:t>In the last meeting, we had the agreements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1"/>
              </w:rPr>
            </w:pPr>
            <w:r>
              <w:rPr>
                <w:rFonts w:hint="default"/>
                <w:color w:val="000000"/>
                <w:sz w:val="20"/>
                <w:szCs w:val="21"/>
              </w:rPr>
              <w:t>For</w:t>
            </w:r>
            <w:r>
              <w:rPr>
                <w:rFonts w:hint="default"/>
                <w:sz w:val="20"/>
                <w:szCs w:val="21"/>
              </w:rPr>
              <w:t xml:space="preserve"> SCS, consider SCS=30kHz in FR1-NTN numerology and 120kHz in FR2-NTN numerology,</w:t>
            </w:r>
            <w:r>
              <w:rPr>
                <w:rFonts w:hint="default"/>
                <w:sz w:val="20"/>
                <w:szCs w:val="21"/>
                <w:highlight w:val="yellow"/>
              </w:rPr>
              <w:t xml:space="preserve"> </w:t>
            </w:r>
            <w:r>
              <w:rPr>
                <w:rFonts w:hint="default"/>
                <w:sz w:val="20"/>
                <w:szCs w:val="21"/>
                <w:highlight w:val="yellow"/>
                <w:u w:val="single"/>
              </w:rPr>
              <w:t>f</w:t>
            </w:r>
            <w:r>
              <w:rPr>
                <w:rFonts w:hint="default"/>
                <w:sz w:val="20"/>
                <w:szCs w:val="21"/>
                <w:highlight w:val="yellow"/>
              </w:rPr>
              <w:t>ollowing the discussion in BDaT session</w:t>
            </w:r>
            <w:r>
              <w:rPr>
                <w:rFonts w:hint="default"/>
                <w:sz w:val="20"/>
                <w:szCs w:val="21"/>
              </w:rPr>
              <w:t>.</w:t>
            </w:r>
          </w:p>
          <w:p>
            <w:pPr>
              <w:keepNext w:val="0"/>
              <w:keepLines w:val="0"/>
              <w:widowControl/>
              <w:numPr>
                <w:ilvl w:val="0"/>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Mobile VSAT UE shall be considered from RAN4 RRM requirement perspective. There are four cases shall be considered for mobile VSAT UE:</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1: mobile VSAT UE served by GSO in FR1-NTN </w:t>
            </w:r>
            <w:r>
              <w:rPr>
                <w:rFonts w:hint="default"/>
                <w:sz w:val="20"/>
                <w:szCs w:val="21"/>
              </w:rPr>
              <w:t>numerology</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2: mobile VSAT UE served by NGSO in FR1-NTN </w:t>
            </w:r>
            <w:r>
              <w:rPr>
                <w:rFonts w:hint="default"/>
                <w:sz w:val="20"/>
                <w:szCs w:val="21"/>
              </w:rPr>
              <w:t>numerology</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3: mobile VSAT UE served by GSO in FR2-NTN </w:t>
            </w:r>
            <w:r>
              <w:rPr>
                <w:rFonts w:hint="default"/>
                <w:sz w:val="20"/>
                <w:szCs w:val="21"/>
              </w:rPr>
              <w:t>numerology</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0"/>
                <w:vertAlign w:val="baseline"/>
                <w:lang w:val="en-US" w:eastAsia="zh-CN"/>
              </w:rPr>
            </w:pPr>
            <w:r>
              <w:rPr>
                <w:rFonts w:hint="default"/>
                <w:color w:val="000000"/>
                <w:sz w:val="20"/>
                <w:szCs w:val="21"/>
              </w:rPr>
              <w:t>Case 4: mobile VSAT UE served by NGSO in FR2-NTN numerology</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The revised WID and BDaT session provide the applicable SCS for downlink SSB signals and uplink data transmission, the following description can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none"/>
                <w:lang w:val="en-US"/>
              </w:rPr>
            </w:pPr>
            <w:r>
              <w:rPr>
                <w:rFonts w:hint="default"/>
                <w:sz w:val="20"/>
                <w:szCs w:val="20"/>
                <w:highlight w:val="none"/>
                <w:lang w:val="en-US"/>
              </w:rPr>
              <w:t>Ku band #1a and #1b as FR1-NTN supporting</w:t>
            </w:r>
            <w:r>
              <w:rPr>
                <w:rFonts w:hint="default"/>
                <w:sz w:val="20"/>
                <w:szCs w:val="20"/>
                <w:highlight w:val="none"/>
                <w:lang w:val="en-US" w:eastAsia="zh-TW"/>
              </w:rPr>
              <w:t xml:space="preserve"> </w:t>
            </w:r>
            <w:r>
              <w:rPr>
                <w:rFonts w:hint="default"/>
                <w:sz w:val="20"/>
                <w:szCs w:val="20"/>
                <w:highlight w:val="none"/>
                <w:lang w:val="en-US"/>
              </w:rPr>
              <w:t>10 MHz</w:t>
            </w:r>
            <w:r>
              <w:rPr>
                <w:rFonts w:hint="default"/>
                <w:sz w:val="20"/>
                <w:szCs w:val="20"/>
                <w:highlight w:val="none"/>
                <w:lang w:val="en-US" w:eastAsia="zh-TW"/>
              </w:rPr>
              <w:t>,</w:t>
            </w:r>
            <w:r>
              <w:rPr>
                <w:rFonts w:hint="default"/>
                <w:sz w:val="20"/>
                <w:szCs w:val="20"/>
                <w:highlight w:val="none"/>
                <w:lang w:val="en-US"/>
              </w:rPr>
              <w:t xml:space="preserve"> 20 MHz, 25 MHz, 35 MHz, 50 MHz, 70 MHz and 100 MHz channel bandwidths with 30 kHz subcarrier spacing, and 10MHz, 15MHz, 25MHz, 35MHz and 50MHz channel bandwidths with 15 kHz subcarrier spacing. </w:t>
            </w:r>
          </w:p>
          <w:p>
            <w:pPr>
              <w:pStyle w:val="29"/>
              <w:keepNext w:val="0"/>
              <w:keepLines w:val="0"/>
              <w:widowControl/>
              <w:numPr>
                <w:ilvl w:val="2"/>
                <w:numId w:val="4"/>
              </w:numPr>
              <w:suppressLineNumbers w:val="0"/>
              <w:overflowPunct/>
              <w:autoSpaceDE/>
              <w:autoSpaceDN w:val="0"/>
              <w:adjustRightInd/>
              <w:spacing w:before="0" w:beforeAutospacing="0" w:after="160" w:afterAutospacing="0" w:line="256" w:lineRule="auto"/>
              <w:ind w:left="2160" w:right="0" w:hanging="360"/>
              <w:contextualSpacing/>
              <w:jc w:val="both"/>
              <w:rPr>
                <w:rFonts w:hint="default"/>
                <w:sz w:val="20"/>
                <w:szCs w:val="20"/>
                <w:highlight w:val="cyan"/>
                <w:lang w:val="en-US"/>
              </w:rPr>
            </w:pPr>
            <w:r>
              <w:rPr>
                <w:rFonts w:hint="default"/>
                <w:sz w:val="20"/>
                <w:szCs w:val="20"/>
                <w:highlight w:val="cyan"/>
                <w:lang w:val="en-US"/>
              </w:rPr>
              <w:t>Note: Same subcarrier spacing is assumed for SSB and data channels</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none"/>
                <w:lang w:val="en-US"/>
              </w:rPr>
            </w:pPr>
            <w:r>
              <w:rPr>
                <w:rFonts w:hint="default"/>
                <w:sz w:val="20"/>
                <w:szCs w:val="20"/>
                <w:highlight w:val="none"/>
                <w:lang w:val="en-US"/>
              </w:rPr>
              <w:t>Ku band #1a and #1b as FR2-NTN supporting 50 MHz, 100 MHz, 200 MHz, 400 MHz (120kHz SCS only) channel bandwidths with 120 kHz subcarrier spacing</w:t>
            </w:r>
            <w:r>
              <w:rPr>
                <w:rFonts w:hint="default"/>
                <w:sz w:val="20"/>
                <w:szCs w:val="20"/>
                <w:highlight w:val="none"/>
                <w:lang w:val="en-US" w:eastAsia="zh-TW"/>
              </w:rPr>
              <w:t>.</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Cs w:val="20"/>
                <w:vertAlign w:val="baseline"/>
                <w:lang w:val="en-US" w:eastAsia="zh-CN"/>
              </w:rPr>
            </w:pPr>
            <w:r>
              <w:rPr>
                <w:rFonts w:hint="default"/>
                <w:sz w:val="20"/>
                <w:szCs w:val="20"/>
                <w:highlight w:val="none"/>
                <w:lang w:val="en-US" w:eastAsia="zh-TW"/>
              </w:rPr>
              <w:t>Note: Simultaneous operation of FR1-NTN and FR2-NTN numerology is not supported in the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Based on above table, we conclude that two points shall be noticed:</w:t>
      </w:r>
    </w:p>
    <w:p>
      <w:pPr>
        <w:numPr>
          <w:ilvl w:val="0"/>
          <w:numId w:val="6"/>
        </w:numPr>
        <w:ind w:left="420" w:leftChars="0" w:hanging="420" w:firstLineChars="0"/>
        <w:jc w:val="both"/>
        <w:rPr>
          <w:rFonts w:hint="default"/>
          <w:lang w:val="en-US" w:eastAsia="zh-CN"/>
        </w:rPr>
      </w:pPr>
      <w:r>
        <w:rPr>
          <w:rFonts w:hint="eastAsia"/>
          <w:lang w:val="en-US" w:eastAsia="zh-CN"/>
        </w:rPr>
        <w:t>For FR1-NTN supporting numerology, not only 30kHz but 15kHz shall be supported.</w:t>
      </w:r>
    </w:p>
    <w:p>
      <w:pPr>
        <w:numPr>
          <w:ilvl w:val="0"/>
          <w:numId w:val="6"/>
        </w:numPr>
        <w:ind w:left="420" w:leftChars="0" w:hanging="420" w:firstLineChars="0"/>
        <w:jc w:val="both"/>
        <w:rPr>
          <w:rFonts w:hint="default"/>
          <w:lang w:val="en-US" w:eastAsia="zh-CN"/>
        </w:rPr>
      </w:pPr>
      <w:r>
        <w:rPr>
          <w:rFonts w:hint="eastAsia"/>
          <w:lang w:val="en-US" w:eastAsia="zh-CN"/>
        </w:rPr>
        <w:t>For FR1-NTN and FR2-NTN supporting numerology, same SCS is assumed for SSB and data channels.</w:t>
      </w:r>
    </w:p>
    <w:p>
      <w:pPr>
        <w:rPr>
          <w:rFonts w:hint="eastAsia"/>
          <w:lang w:val="en-US" w:eastAsia="zh-CN"/>
        </w:rPr>
      </w:pPr>
      <w:r>
        <w:rPr>
          <w:rFonts w:hint="eastAsia"/>
          <w:lang w:val="en-US" w:eastAsia="zh-CN"/>
        </w:rPr>
        <w:t>Thus, RAN4 shall define the RRM requirements including timing requirements shall follow above two points.</w:t>
      </w:r>
    </w:p>
    <w:p>
      <w:pPr>
        <w:rPr>
          <w:rFonts w:hint="eastAsia"/>
          <w:b/>
          <w:bCs/>
          <w:lang w:val="en-US" w:eastAsia="zh-CN"/>
        </w:rPr>
      </w:pPr>
      <w:r>
        <w:rPr>
          <w:rFonts w:hint="eastAsia"/>
          <w:b/>
          <w:bCs/>
          <w:lang w:val="en-US" w:eastAsia="zh-CN"/>
        </w:rPr>
        <w:t>Observation 1: Based on description of revised WID and BDaT session, the following two points shall be noticed:</w:t>
      </w:r>
    </w:p>
    <w:p>
      <w:pPr>
        <w:numPr>
          <w:ilvl w:val="0"/>
          <w:numId w:val="6"/>
        </w:numPr>
        <w:ind w:left="420" w:leftChars="0" w:hanging="420" w:firstLineChars="0"/>
        <w:jc w:val="both"/>
        <w:rPr>
          <w:rFonts w:hint="default"/>
          <w:b/>
          <w:bCs/>
          <w:lang w:val="en-US" w:eastAsia="zh-CN"/>
        </w:rPr>
      </w:pPr>
      <w:r>
        <w:rPr>
          <w:rFonts w:hint="eastAsia"/>
          <w:b/>
          <w:bCs/>
          <w:lang w:val="en-US" w:eastAsia="zh-CN"/>
        </w:rPr>
        <w:t>For FR1-NTN supporting numerology, not only 30kHz but 15kHz shall be supported.</w:t>
      </w:r>
    </w:p>
    <w:p>
      <w:pPr>
        <w:numPr>
          <w:ilvl w:val="0"/>
          <w:numId w:val="6"/>
        </w:numPr>
        <w:ind w:left="420" w:leftChars="0" w:hanging="420" w:firstLineChars="0"/>
        <w:jc w:val="both"/>
        <w:rPr>
          <w:rFonts w:hint="default"/>
          <w:b/>
          <w:bCs/>
          <w:lang w:val="en-US" w:eastAsia="zh-CN"/>
        </w:rPr>
      </w:pPr>
      <w:r>
        <w:rPr>
          <w:rFonts w:hint="eastAsia"/>
          <w:b/>
          <w:bCs/>
          <w:lang w:val="en-US" w:eastAsia="zh-CN"/>
        </w:rPr>
        <w:t>For FR1-NTN and FR2-NTN supporting numerology, same SCS is assumed for SSB and data channels.</w:t>
      </w:r>
    </w:p>
    <w:p>
      <w:pPr>
        <w:rPr>
          <w:rFonts w:hint="eastAsia"/>
          <w:b/>
          <w:bCs/>
          <w:lang w:val="en-US" w:eastAsia="zh-CN"/>
        </w:rPr>
      </w:pPr>
      <w:r>
        <w:rPr>
          <w:rFonts w:hint="eastAsia"/>
          <w:b/>
          <w:bCs/>
          <w:lang w:val="en-US" w:eastAsia="zh-CN"/>
        </w:rPr>
        <w:t>Proposal 1: For applicable SCS, RAN4 shall also consider SCS=15kHz in FR1-NTN numerology.</w:t>
      </w:r>
    </w:p>
    <w:p>
      <w:pPr>
        <w:rPr>
          <w:rFonts w:hint="eastAsia"/>
          <w:b/>
          <w:bCs/>
          <w:lang w:val="en-US" w:eastAsia="zh-CN"/>
        </w:rPr>
      </w:pPr>
      <w:r>
        <w:rPr>
          <w:rFonts w:hint="eastAsia"/>
          <w:b/>
          <w:bCs/>
          <w:lang w:val="en-US" w:eastAsia="zh-CN"/>
        </w:rPr>
        <w:t>Proposal 2: RAN4 shall notice that the same SCS is assumed for SSB and data channels for FR1-NTN and FR2-NTN numerology respectively.</w:t>
      </w:r>
    </w:p>
    <w:p>
      <w:pPr>
        <w:pStyle w:val="79"/>
        <w:numPr>
          <w:ilvl w:val="1"/>
          <w:numId w:val="0"/>
        </w:numPr>
        <w:bidi w:val="0"/>
        <w:rPr>
          <w:rFonts w:hint="default"/>
          <w:lang w:val="en-US" w:eastAsia="zh-CN"/>
        </w:rPr>
      </w:pPr>
      <w:r>
        <w:rPr>
          <w:rFonts w:hint="eastAsia"/>
          <w:lang w:val="en-US" w:eastAsia="zh-CN"/>
        </w:rPr>
        <w:t>2.2 Uplink transmit timing requirement</w:t>
      </w:r>
    </w:p>
    <w:p>
      <w:pPr>
        <w:rPr>
          <w:rFonts w:hint="eastAsia"/>
          <w:lang w:val="en-US" w:eastAsia="zh-CN"/>
        </w:rPr>
      </w:pPr>
      <w:r>
        <w:rPr>
          <w:rFonts w:hint="eastAsia"/>
          <w:lang w:val="en-US" w:eastAsia="zh-CN"/>
        </w:rPr>
        <w:t>In the last meeting , RAN4 firstly confirmed four cases from RRM requirements perspective. Based on four cases, we defined the related uplink timing requirements, and there still have some issues shall be confirmed in this meeting: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b/>
                <w:color w:val="000000"/>
                <w:sz w:val="20"/>
                <w:szCs w:val="21"/>
                <w:u w:val="single"/>
              </w:rPr>
            </w:pPr>
            <w:r>
              <w:rPr>
                <w:rFonts w:hint="default"/>
                <w:b/>
                <w:color w:val="000000"/>
                <w:sz w:val="20"/>
                <w:szCs w:val="21"/>
                <w:u w:val="single"/>
              </w:rPr>
              <w:t>Issue 1-3: UL transmit timing requirement</w:t>
            </w:r>
          </w:p>
          <w:p>
            <w:pPr>
              <w:keepNext w:val="0"/>
              <w:keepLines w:val="0"/>
              <w:widowControl/>
              <w:suppressLineNumbers w:val="0"/>
              <w:spacing w:before="0" w:beforeAutospacing="0" w:after="120" w:afterAutospacing="0"/>
              <w:ind w:left="0" w:right="0"/>
              <w:rPr>
                <w:rFonts w:hint="default"/>
                <w:color w:val="000000"/>
                <w:sz w:val="20"/>
                <w:szCs w:val="20"/>
              </w:rPr>
            </w:pPr>
            <w:r>
              <w:rPr>
                <w:rFonts w:hint="default"/>
                <w:color w:val="000000"/>
                <w:sz w:val="20"/>
                <w:szCs w:val="20"/>
                <w:highlight w:val="green"/>
              </w:rPr>
              <w:t>Agreement:</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RAN4 to define timing accuracy requirements for case 1, 2:</w:t>
            </w:r>
          </w:p>
          <w:p>
            <w:pPr>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For FR1-NTN numerology, existing requirements in Table 7.1C.2-1 of 38.133 (FR1-NTN) are re-used. </w:t>
            </w:r>
          </w:p>
          <w:p>
            <w:pPr>
              <w:keepNext w:val="0"/>
              <w:keepLines w:val="0"/>
              <w:widowControl/>
              <w:numPr>
                <w:ilvl w:val="3"/>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highlight w:val="yellow"/>
              </w:rPr>
            </w:pPr>
            <w:r>
              <w:rPr>
                <w:rFonts w:hint="default"/>
                <w:color w:val="000000"/>
                <w:sz w:val="20"/>
                <w:szCs w:val="21"/>
                <w:highlight w:val="yellow"/>
              </w:rPr>
              <w:t>For the applicable SCS, follow the agreement in BDaT session.</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RAN4 to define timing accuracy requirements for case 3:</w:t>
            </w:r>
          </w:p>
          <w:p>
            <w:pPr>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For FR2-NTN numerology, existing requirements</w:t>
            </w:r>
            <w:r>
              <w:rPr>
                <w:rFonts w:hint="default"/>
                <w:color w:val="FF0000"/>
                <w:sz w:val="20"/>
                <w:szCs w:val="21"/>
              </w:rPr>
              <w:t xml:space="preserve"> </w:t>
            </w:r>
            <w:r>
              <w:rPr>
                <w:rFonts w:hint="default"/>
                <w:color w:val="000000"/>
                <w:sz w:val="20"/>
                <w:szCs w:val="21"/>
              </w:rPr>
              <w:t xml:space="preserve">in Table 7.1C.2-3 of 38.133 (FR2-NTN mobile VSAT served by GSO) are re-used. </w:t>
            </w:r>
          </w:p>
          <w:p>
            <w:pPr>
              <w:keepNext w:val="0"/>
              <w:keepLines w:val="0"/>
              <w:widowControl/>
              <w:numPr>
                <w:ilvl w:val="3"/>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highlight w:val="yellow"/>
              </w:rPr>
            </w:pPr>
            <w:r>
              <w:rPr>
                <w:rFonts w:hint="default"/>
                <w:color w:val="000000"/>
                <w:sz w:val="20"/>
                <w:szCs w:val="21"/>
                <w:highlight w:val="yellow"/>
              </w:rPr>
              <w:t>For the applicable SCS, follow the agreement in BDaT session.</w:t>
            </w:r>
          </w:p>
          <w:p>
            <w:pPr>
              <w:keepNext w:val="0"/>
              <w:keepLines w:val="0"/>
              <w:widowControl/>
              <w:numPr>
                <w:ilvl w:val="3"/>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The endorsed CR with 7.5 Ts under the same side conditions as Rel-18 are considered.</w:t>
            </w:r>
          </w:p>
          <w:p>
            <w:pPr>
              <w:keepNext w:val="0"/>
              <w:keepLines w:val="0"/>
              <w:widowControl/>
              <w:numPr>
                <w:ilvl w:val="1"/>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RAN4 to define timing accuracy requirements for case 4:</w:t>
            </w:r>
          </w:p>
          <w:p>
            <w:pPr>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For FR2-NTN numerology, </w:t>
            </w:r>
            <w:r>
              <w:rPr>
                <w:rFonts w:hint="default"/>
                <w:color w:val="000000"/>
                <w:sz w:val="20"/>
                <w:szCs w:val="21"/>
                <w:highlight w:val="yellow"/>
              </w:rPr>
              <w:t>FFS existing requirements</w:t>
            </w:r>
            <w:r>
              <w:rPr>
                <w:rFonts w:hint="default"/>
                <w:color w:val="FF0000"/>
                <w:sz w:val="20"/>
                <w:szCs w:val="21"/>
                <w:highlight w:val="yellow"/>
              </w:rPr>
              <w:t xml:space="preserve"> </w:t>
            </w:r>
            <w:r>
              <w:rPr>
                <w:rFonts w:hint="default"/>
                <w:color w:val="000000"/>
                <w:sz w:val="20"/>
                <w:szCs w:val="21"/>
                <w:highlight w:val="yellow"/>
              </w:rPr>
              <w:t>in Table 7.1C.2-3 of 38.133 (FR2-NTN mobile VSAT served by GSO) are re-used</w:t>
            </w:r>
            <w:r>
              <w:rPr>
                <w:rFonts w:hint="default"/>
                <w:color w:val="000000"/>
                <w:sz w:val="20"/>
                <w:szCs w:val="21"/>
              </w:rPr>
              <w:t xml:space="preserve">. </w:t>
            </w:r>
          </w:p>
          <w:p>
            <w:pPr>
              <w:keepNext w:val="0"/>
              <w:keepLines w:val="0"/>
              <w:widowControl/>
              <w:numPr>
                <w:ilvl w:val="3"/>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highlight w:val="yellow"/>
              </w:rPr>
            </w:pPr>
            <w:r>
              <w:rPr>
                <w:rFonts w:hint="default"/>
                <w:color w:val="000000"/>
                <w:sz w:val="20"/>
                <w:szCs w:val="21"/>
                <w:highlight w:val="yellow"/>
              </w:rPr>
              <w:t>For the applicable SCS, follow the agreement in BDaT session.</w:t>
            </w:r>
          </w:p>
          <w:p>
            <w:pPr>
              <w:keepNext w:val="0"/>
              <w:keepLines w:val="0"/>
              <w:widowControl/>
              <w:numPr>
                <w:ilvl w:val="3"/>
                <w:numId w:val="5"/>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0"/>
                <w:vertAlign w:val="baseline"/>
                <w:lang w:val="en-US" w:eastAsia="zh-CN"/>
              </w:rPr>
            </w:pPr>
            <w:r>
              <w:rPr>
                <w:rFonts w:hint="default"/>
                <w:color w:val="000000"/>
                <w:sz w:val="20"/>
                <w:szCs w:val="21"/>
              </w:rPr>
              <w:t>The endorsed CR with 7.5 Ts is considered.</w:t>
            </w:r>
            <w:r>
              <w:rPr>
                <w:rFonts w:hint="default"/>
                <w:color w:val="000000"/>
                <w:sz w:val="20"/>
                <w:szCs w:val="21"/>
                <w:highlight w:val="yellow"/>
              </w:rPr>
              <w:t xml:space="preserve"> FFS whether the same or different side condition from Rel-18 can be used.</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i/>
          <w:iCs/>
          <w:u w:val="single"/>
          <w:lang w:val="en-US" w:eastAsia="zh-CN"/>
        </w:rPr>
      </w:pPr>
      <w:r>
        <w:rPr>
          <w:rFonts w:hint="eastAsia"/>
          <w:i/>
          <w:iCs/>
          <w:u w:val="single"/>
          <w:lang w:val="en-US" w:eastAsia="zh-CN"/>
        </w:rPr>
        <w:t>RAN4 to define timing accuracy requirements for case 1, 2</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We have agreed that the existing requirements in Table 7.1C.2-1 of TS 38.133 are reused for FR1-NTN numerology. However, for applicable SCS, only SCS=30kHz and 15kHz shall be considered and the SCS for downlink SSB signal and uplink data transmission is same. The concrete requirement could be seen as below:</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1: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and NGSO</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lang w:val="en-US"/>
              </w:rPr>
            </w:pPr>
            <w:r>
              <w:rPr>
                <w:rFonts w:hint="eastAsia"/>
                <w:sz w:val="20"/>
                <w:szCs w:val="20"/>
                <w:lang w:val="en-US" w:eastAsia="zh-CN"/>
              </w:rPr>
              <w:t xml:space="preserve"> </w:t>
            </w:r>
            <w:r>
              <w:rPr>
                <w:rFonts w:hint="default" w:ascii="Arial" w:hAnsi="Arial" w:eastAsia="宋体" w:cs="Times New Roman"/>
                <w:b/>
                <w:bCs w:val="0"/>
                <w:kern w:val="0"/>
                <w:sz w:val="18"/>
                <w:szCs w:val="20"/>
                <w:lang w:val="en-US" w:eastAsia="zh-CN" w:bidi="ar"/>
              </w:rPr>
              <w:t>Frequency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FR1-NTN</w:t>
            </w:r>
          </w:p>
        </w:tc>
        <w:tc>
          <w:tcPr>
            <w:tcW w:w="1437" w:type="pct"/>
            <w:tcBorders>
              <w:top w:val="single" w:color="auto" w:sz="4" w:space="0"/>
              <w:left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29*64*T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43" w:type="pct"/>
            <w:tcBorders>
              <w:top w:val="nil"/>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p>
        </w:tc>
        <w:tc>
          <w:tcPr>
            <w:tcW w:w="1437" w:type="pct"/>
            <w:tcBorders>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eastAsia="zh-CN"/>
              </w:rPr>
            </w:pPr>
            <w:r>
              <w:rPr>
                <w:rFonts w:hint="eastAsia" w:ascii="Arial" w:hAnsi="Arial" w:eastAsia="宋体" w:cs="Times New Roman"/>
                <w:kern w:val="0"/>
                <w:sz w:val="18"/>
                <w:szCs w:val="20"/>
                <w:lang w:val="en-US" w:eastAsia="zh-CN" w:bidi="ar"/>
              </w:rPr>
              <w:t>30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30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22*64*T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3: The concrete timing requirements for case 1 and case 2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1: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and NGSO</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lang w:val="en-US"/>
              </w:rPr>
            </w:pPr>
            <w:r>
              <w:rPr>
                <w:rFonts w:hint="eastAsia"/>
                <w:sz w:val="20"/>
                <w:szCs w:val="20"/>
                <w:lang w:val="en-US" w:eastAsia="zh-CN"/>
              </w:rPr>
              <w:t xml:space="preserve"> </w:t>
            </w:r>
            <w:r>
              <w:rPr>
                <w:rFonts w:hint="default" w:ascii="Arial" w:hAnsi="Arial" w:eastAsia="宋体" w:cs="Times New Roman"/>
                <w:b/>
                <w:bCs w:val="0"/>
                <w:kern w:val="0"/>
                <w:sz w:val="18"/>
                <w:szCs w:val="20"/>
                <w:lang w:val="en-US" w:eastAsia="zh-CN" w:bidi="ar"/>
              </w:rPr>
              <w:t>Frequency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FR1-NTN</w:t>
            </w:r>
          </w:p>
        </w:tc>
        <w:tc>
          <w:tcPr>
            <w:tcW w:w="1437" w:type="pct"/>
            <w:tcBorders>
              <w:top w:val="single" w:color="auto" w:sz="4" w:space="0"/>
              <w:left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29*64*T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43" w:type="pct"/>
            <w:tcBorders>
              <w:top w:val="nil"/>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p>
        </w:tc>
        <w:tc>
          <w:tcPr>
            <w:tcW w:w="1437" w:type="pct"/>
            <w:tcBorders>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eastAsia="zh-CN"/>
              </w:rPr>
            </w:pPr>
            <w:r>
              <w:rPr>
                <w:rFonts w:hint="eastAsia" w:ascii="Arial" w:hAnsi="Arial" w:eastAsia="宋体" w:cs="Times New Roman"/>
                <w:kern w:val="0"/>
                <w:sz w:val="18"/>
                <w:szCs w:val="20"/>
                <w:lang w:val="en-US" w:eastAsia="zh-CN" w:bidi="ar"/>
              </w:rPr>
              <w:t>30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30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22*64*T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i/>
          <w:iCs/>
          <w:u w:val="single"/>
          <w:lang w:val="en-US" w:eastAsia="zh-CN"/>
        </w:rPr>
      </w:pPr>
      <w:r>
        <w:rPr>
          <w:rFonts w:hint="eastAsia"/>
          <w:i/>
          <w:iCs/>
          <w:u w:val="single"/>
          <w:lang w:val="en-US" w:eastAsia="zh-CN"/>
        </w:rPr>
        <w:t>RAN4 to define timing accuracy requirements for case 3</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We have agreed that the existing requirements in Table 7.1C.2-3 of TS 38.133 are reused for case3 with FR2-NTN numerology. The concrete timing requirements could be seen as below:</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2: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eastAsia" w:ascii="Arial" w:hAnsi="Arial" w:eastAsia="宋体" w:cs="Times New Roman"/>
                <w:b/>
                <w:bCs w:val="0"/>
                <w:kern w:val="0"/>
                <w:sz w:val="18"/>
                <w:szCs w:val="20"/>
                <w:lang w:val="en-US" w:eastAsia="zh-CN" w:bidi="ar"/>
              </w:rPr>
              <w:t>f</w:t>
            </w:r>
            <w:r>
              <w:rPr>
                <w:rFonts w:hint="default" w:ascii="Arial" w:hAnsi="Arial" w:eastAsia="宋体" w:cs="Times New Roman"/>
                <w:b/>
                <w:bCs w:val="0"/>
                <w:kern w:val="0"/>
                <w:sz w:val="18"/>
                <w:szCs w:val="20"/>
                <w:lang w:val="en-US" w:eastAsia="zh-CN" w:bidi="ar"/>
              </w:rPr>
              <w:t>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FR</w:t>
            </w:r>
            <w:r>
              <w:rPr>
                <w:rFonts w:hint="eastAsia" w:ascii="Arial" w:hAnsi="Arial" w:eastAsia="宋体" w:cs="Times New Roman"/>
                <w:kern w:val="0"/>
                <w:sz w:val="18"/>
                <w:szCs w:val="20"/>
                <w:lang w:val="en-US" w:eastAsia="zh-CN" w:bidi="ar"/>
              </w:rPr>
              <w:t>2</w:t>
            </w:r>
            <w:r>
              <w:rPr>
                <w:rFonts w:hint="default" w:ascii="Arial" w:hAnsi="Arial" w:eastAsia="宋体" w:cs="Times New Roman"/>
                <w:kern w:val="0"/>
                <w:sz w:val="18"/>
                <w:szCs w:val="20"/>
                <w:lang w:val="en-US" w:eastAsia="zh-CN" w:bidi="ar"/>
              </w:rPr>
              <w:t>-NTN</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120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120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7.5*64*T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4: The concrete timing requirements for case 3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2: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eastAsia" w:ascii="Arial" w:hAnsi="Arial" w:eastAsia="宋体" w:cs="Times New Roman"/>
                <w:b/>
                <w:bCs w:val="0"/>
                <w:kern w:val="0"/>
                <w:sz w:val="18"/>
                <w:szCs w:val="20"/>
                <w:lang w:val="en-US" w:eastAsia="zh-CN" w:bidi="ar"/>
              </w:rPr>
              <w:t>f</w:t>
            </w:r>
            <w:r>
              <w:rPr>
                <w:rFonts w:hint="default" w:ascii="Arial" w:hAnsi="Arial" w:eastAsia="宋体" w:cs="Times New Roman"/>
                <w:b/>
                <w:bCs w:val="0"/>
                <w:kern w:val="0"/>
                <w:sz w:val="18"/>
                <w:szCs w:val="20"/>
                <w:lang w:val="en-US" w:eastAsia="zh-CN" w:bidi="ar"/>
              </w:rPr>
              <w:t>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FR</w:t>
            </w:r>
            <w:r>
              <w:rPr>
                <w:rFonts w:hint="eastAsia" w:ascii="Arial" w:hAnsi="Arial" w:eastAsia="宋体" w:cs="Times New Roman"/>
                <w:kern w:val="0"/>
                <w:sz w:val="18"/>
                <w:szCs w:val="20"/>
                <w:lang w:val="en-US" w:eastAsia="zh-CN" w:bidi="ar"/>
              </w:rPr>
              <w:t>2</w:t>
            </w:r>
            <w:r>
              <w:rPr>
                <w:rFonts w:hint="default" w:ascii="Arial" w:hAnsi="Arial" w:eastAsia="宋体" w:cs="Times New Roman"/>
                <w:kern w:val="0"/>
                <w:sz w:val="18"/>
                <w:szCs w:val="20"/>
                <w:lang w:val="en-US" w:eastAsia="zh-CN" w:bidi="ar"/>
              </w:rPr>
              <w:t>-NTN</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120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120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7.5*64*T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i/>
          <w:iCs/>
          <w:u w:val="single"/>
          <w:lang w:val="en-US" w:eastAsia="zh-CN"/>
        </w:rPr>
      </w:pPr>
      <w:r>
        <w:rPr>
          <w:rFonts w:hint="eastAsia"/>
          <w:i/>
          <w:iCs/>
          <w:u w:val="single"/>
          <w:lang w:val="en-US" w:eastAsia="zh-CN"/>
        </w:rPr>
        <w:t>RAN4 to define timing accuracy requirements for case 4</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the uplink timing requirements for case 4, the majority companies agree with the requirements for mobile VSAT served by GSO could be reused. As the uplink timing requirements for fixed VSAT UE served by GSO and NGSO is same in legacy, the same logic could be considered for case 4 and mobile VSAT UE served by GSO. A few companies think the UE type is different for fixed VSAT and mobile VSAT. To our understanding, the legacy requirements for mobile VSAT UE served by GSO could be reused, and the side conditions could be considered modifying.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In legacy discussion, three side conditions are discussed:</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GNSS signal power (table 6.2-1 in TS 38.171)</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 xml:space="preserve">Satellite allocation (table 6.2-2 in TS 38.171) </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jc w:val="both"/>
        <w:textAlignment w:val="auto"/>
        <w:rPr>
          <w:rFonts w:hint="default"/>
          <w:highlight w:val="yellow"/>
          <w:lang w:val="en-US" w:eastAsia="zh-CN"/>
        </w:rPr>
      </w:pPr>
      <w:r>
        <w:rPr>
          <w:rFonts w:hint="eastAsia"/>
          <w:highlight w:val="yellow"/>
          <w:lang w:val="en-US" w:eastAsia="zh-CN"/>
        </w:rPr>
        <w:t>UE movement (UE velocity change within one second and UE moving direction change within one second)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From our perspective, GNSS signal power and Satellite allocation shall still follow the legacy conditions since the Te has already limited to 7.5Ts. The side condition for UE movement could be re-considered. We don</w:t>
      </w:r>
      <w:r>
        <w:rPr>
          <w:rFonts w:hint="default"/>
          <w:lang w:val="en-US" w:eastAsia="zh-CN"/>
        </w:rPr>
        <w:t>’</w:t>
      </w:r>
      <w:r>
        <w:rPr>
          <w:rFonts w:hint="eastAsia"/>
          <w:lang w:val="en-US" w:eastAsia="zh-CN"/>
        </w:rPr>
        <w:t xml:space="preserve">t have strong view on this and the concrete values could be discussed in this meeting. </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5: The concrete timing requirements for case 4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3: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NGSO </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eastAsia" w:ascii="Arial" w:hAnsi="Arial" w:eastAsia="宋体" w:cs="Times New Roman"/>
                <w:b/>
                <w:bCs w:val="0"/>
                <w:kern w:val="0"/>
                <w:sz w:val="18"/>
                <w:szCs w:val="20"/>
                <w:lang w:val="en-US" w:eastAsia="zh-CN" w:bidi="ar"/>
              </w:rPr>
              <w:t>f</w:t>
            </w:r>
            <w:r>
              <w:rPr>
                <w:rFonts w:hint="default" w:ascii="Arial" w:hAnsi="Arial" w:eastAsia="宋体" w:cs="Times New Roman"/>
                <w:b/>
                <w:bCs w:val="0"/>
                <w:kern w:val="0"/>
                <w:sz w:val="18"/>
                <w:szCs w:val="20"/>
                <w:lang w:val="en-US" w:eastAsia="zh-CN" w:bidi="ar"/>
              </w:rPr>
              <w:t>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FR</w:t>
            </w:r>
            <w:r>
              <w:rPr>
                <w:rFonts w:hint="eastAsia" w:ascii="Arial" w:hAnsi="Arial" w:eastAsia="宋体" w:cs="Times New Roman"/>
                <w:kern w:val="0"/>
                <w:sz w:val="18"/>
                <w:szCs w:val="20"/>
                <w:lang w:val="en-US" w:eastAsia="zh-CN" w:bidi="ar"/>
              </w:rPr>
              <w:t>2</w:t>
            </w:r>
            <w:r>
              <w:rPr>
                <w:rFonts w:hint="default" w:ascii="Arial" w:hAnsi="Arial" w:eastAsia="宋体" w:cs="Times New Roman"/>
                <w:kern w:val="0"/>
                <w:sz w:val="18"/>
                <w:szCs w:val="20"/>
                <w:lang w:val="en-US" w:eastAsia="zh-CN" w:bidi="ar"/>
              </w:rPr>
              <w:t>-NTN</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120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120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7.5*64*T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b/>
          <w:bCs/>
          <w:lang w:val="en-US" w:eastAsia="zh-CN"/>
        </w:rPr>
      </w:pPr>
      <w:r>
        <w:rPr>
          <w:rFonts w:hint="eastAsia"/>
          <w:b/>
          <w:bCs/>
          <w:lang w:val="en-US" w:eastAsia="zh-CN"/>
        </w:rPr>
        <w:t>Proposal 6: The side condition could be re-considered compared to the legacy one,especially on the UE movement.</w:t>
      </w:r>
    </w:p>
    <w:p>
      <w:pPr>
        <w:pStyle w:val="79"/>
        <w:numPr>
          <w:ilvl w:val="1"/>
          <w:numId w:val="0"/>
        </w:numPr>
        <w:bidi w:val="0"/>
        <w:rPr>
          <w:rFonts w:hint="default"/>
          <w:lang w:val="en-US" w:eastAsia="zh-CN"/>
        </w:rPr>
      </w:pPr>
      <w:r>
        <w:rPr>
          <w:rFonts w:hint="eastAsia"/>
          <w:lang w:val="en-US" w:eastAsia="zh-CN"/>
        </w:rPr>
        <w:t>2.3 Potential RRM requirements</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In the last meeting, the company just list the potential RRM requirements. In this chapter, RAN4 shall firstly recognize the potential RRM requirements based on the following list and then determine </w:t>
      </w:r>
    </w:p>
    <w:p>
      <w:pPr>
        <w:keepNext w:val="0"/>
        <w:keepLines w:val="0"/>
        <w:pageBreakBefore w:val="0"/>
        <w:widowControl/>
        <w:numPr>
          <w:ilvl w:val="0"/>
          <w:numId w:val="8"/>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eastAsia"/>
          <w:lang w:val="en-US" w:eastAsia="zh-CN"/>
        </w:rPr>
        <w:t>Which RRM requirements could be reused;</w:t>
      </w:r>
    </w:p>
    <w:p>
      <w:pPr>
        <w:keepNext w:val="0"/>
        <w:keepLines w:val="0"/>
        <w:pageBreakBefore w:val="0"/>
        <w:widowControl/>
        <w:numPr>
          <w:ilvl w:val="0"/>
          <w:numId w:val="8"/>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eastAsia"/>
          <w:lang w:val="en-US" w:eastAsia="zh-CN"/>
        </w:rPr>
        <w:t>Which need to be revised for editorial modification;</w:t>
      </w:r>
    </w:p>
    <w:p>
      <w:pPr>
        <w:keepNext w:val="0"/>
        <w:keepLines w:val="0"/>
        <w:pageBreakBefore w:val="0"/>
        <w:widowControl/>
        <w:numPr>
          <w:ilvl w:val="0"/>
          <w:numId w:val="8"/>
        </w:numPr>
        <w:kinsoku/>
        <w:wordWrap/>
        <w:overflowPunct/>
        <w:topLinePunct w:val="0"/>
        <w:autoSpaceDE/>
        <w:autoSpaceDN/>
        <w:bidi w:val="0"/>
        <w:adjustRightInd/>
        <w:snapToGrid/>
        <w:spacing w:before="0" w:beforeLines="50"/>
        <w:ind w:left="420" w:leftChars="0" w:hanging="420" w:firstLineChars="0"/>
        <w:textAlignment w:val="auto"/>
        <w:rPr>
          <w:rFonts w:hint="default"/>
          <w:lang w:val="en-US" w:eastAsia="zh-CN"/>
        </w:rPr>
      </w:pPr>
      <w:r>
        <w:rPr>
          <w:rFonts w:hint="eastAsia"/>
          <w:lang w:val="en-US" w:eastAsia="zh-CN"/>
        </w:rPr>
        <w:t>Which need the new technical work.</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First of all, the potential RRM requirements for Ku band could be studied as below:</w:t>
      </w:r>
    </w:p>
    <w:p>
      <w:pPr>
        <w:pStyle w:val="19"/>
        <w:keepNext/>
        <w:jc w:val="center"/>
      </w:pPr>
      <w:r>
        <w:t xml:space="preserve">Table </w:t>
      </w:r>
      <w:r>
        <w:rPr>
          <w:rFonts w:hint="eastAsia" w:eastAsia="宋体"/>
          <w:lang w:val="en-US" w:eastAsia="zh-CN"/>
        </w:rPr>
        <w:t>1</w:t>
      </w:r>
      <w:r>
        <w:rPr>
          <w:lang w:val="en-US"/>
        </w:rPr>
        <w:t xml:space="preserve"> Summary of RRM requirements which are possibly impacted by NTN operation in the NTN-K</w:t>
      </w:r>
      <w:r>
        <w:rPr>
          <w:rFonts w:hint="eastAsia" w:eastAsia="宋体"/>
          <w:lang w:val="en-US" w:eastAsia="zh-CN"/>
        </w:rPr>
        <w:t>u</w:t>
      </w:r>
      <w:r>
        <w:rPr>
          <w:lang w:val="en-US"/>
        </w:rPr>
        <w:t xml:space="preserve"> bands</w:t>
      </w:r>
    </w:p>
    <w:tbl>
      <w:tblPr>
        <w:tblStyle w:val="31"/>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numPr>
          <w:ilvl w:val="0"/>
          <w:numId w:val="0"/>
        </w:numPr>
        <w:overflowPunct w:val="0"/>
        <w:autoSpaceDE w:val="0"/>
        <w:autoSpaceDN w:val="0"/>
        <w:adjustRightInd w:val="0"/>
        <w:spacing w:before="120" w:beforeLines="0" w:after="120" w:afterLines="0" w:line="240" w:lineRule="auto"/>
        <w:jc w:val="both"/>
        <w:textAlignment w:val="baseline"/>
        <w:rPr>
          <w:rFonts w:hint="eastAsia" w:eastAsia="宋体"/>
          <w:sz w:val="22"/>
          <w:lang w:val="en-US" w:eastAsia="zh-CN"/>
        </w:rPr>
      </w:pPr>
      <w:r>
        <w:rPr>
          <w:rFonts w:hint="eastAsia" w:eastAsia="宋体"/>
          <w:sz w:val="22"/>
          <w:lang w:val="en-US" w:eastAsia="zh-CN"/>
        </w:rPr>
        <w:t>To our understanding, R17 NR NTN related requirements shall be reused or as baseline when we define the FR1-NTN requirements for Ku bands. On the contrary, R18 NR NTN related requirements shall be reused or as baseline when we define the FR2-NTN requirements for Ku bands including timing requirements served by NGSO.</w:t>
      </w:r>
    </w:p>
    <w:p>
      <w:pPr>
        <w:numPr>
          <w:ilvl w:val="0"/>
          <w:numId w:val="0"/>
        </w:numPr>
        <w:overflowPunct w:val="0"/>
        <w:autoSpaceDE w:val="0"/>
        <w:autoSpaceDN w:val="0"/>
        <w:adjustRightInd w:val="0"/>
        <w:spacing w:before="120" w:beforeLines="0" w:after="120" w:afterLines="0" w:line="240" w:lineRule="auto"/>
        <w:jc w:val="both"/>
        <w:textAlignment w:val="baseline"/>
        <w:rPr>
          <w:rFonts w:hint="eastAsia" w:eastAsia="宋体"/>
          <w:b/>
          <w:bCs/>
          <w:sz w:val="22"/>
          <w:lang w:val="en-US" w:eastAsia="zh-CN"/>
        </w:rPr>
      </w:pPr>
      <w:r>
        <w:rPr>
          <w:rFonts w:hint="eastAsia" w:eastAsia="宋体"/>
          <w:b/>
          <w:bCs/>
          <w:sz w:val="22"/>
          <w:lang w:val="en-US" w:eastAsia="zh-CN"/>
        </w:rPr>
        <w:t>Proposal 7: The following potential RRM impacts as follows:</w:t>
      </w:r>
    </w:p>
    <w:p>
      <w:pPr>
        <w:pStyle w:val="19"/>
        <w:keepNext/>
        <w:jc w:val="center"/>
      </w:pPr>
      <w:r>
        <w:t xml:space="preserve">Table </w:t>
      </w:r>
      <w:r>
        <w:rPr>
          <w:rFonts w:hint="eastAsia" w:eastAsia="宋体"/>
          <w:lang w:val="en-US" w:eastAsia="zh-CN"/>
        </w:rPr>
        <w:t>1</w:t>
      </w:r>
      <w:r>
        <w:rPr>
          <w:lang w:val="en-US"/>
        </w:rPr>
        <w:t xml:space="preserve"> Summary of RRM requirements which are possibly impacted by NTN operation in the NTN-K</w:t>
      </w:r>
      <w:r>
        <w:rPr>
          <w:rFonts w:hint="eastAsia" w:eastAsia="宋体"/>
          <w:lang w:val="en-US" w:eastAsia="zh-CN"/>
        </w:rPr>
        <w:t>u</w:t>
      </w:r>
      <w:r>
        <w:rPr>
          <w:lang w:val="en-US"/>
        </w:rPr>
        <w:t xml:space="preserve"> bands</w:t>
      </w:r>
    </w:p>
    <w:tbl>
      <w:tblPr>
        <w:tblStyle w:val="31"/>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Proposal 8: R17 NR NTN related requirements shall be reused or as baseline when we define the FR1-NTN requirements for Ku bands. On the contrary, R18 NR NTN related requirements shall be reused or as baseline when we define the FR2-NTN requirements for Ku bands.</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rPr>
          <w:rFonts w:hint="eastAsia"/>
          <w:b/>
          <w:bCs/>
          <w:lang w:val="en-US" w:eastAsia="zh-CN"/>
        </w:rPr>
      </w:pPr>
      <w:r>
        <w:rPr>
          <w:rFonts w:hint="eastAsia"/>
          <w:b/>
          <w:bCs/>
          <w:lang w:val="en-US" w:eastAsia="zh-CN"/>
        </w:rPr>
        <w:t>Observation 1: Based on description of revised WID and BDaT session, the following two points shall be noticed:</w:t>
      </w:r>
    </w:p>
    <w:p>
      <w:pPr>
        <w:numPr>
          <w:ilvl w:val="0"/>
          <w:numId w:val="6"/>
        </w:numPr>
        <w:ind w:left="420" w:leftChars="0" w:hanging="420" w:firstLineChars="0"/>
        <w:jc w:val="both"/>
        <w:rPr>
          <w:rFonts w:hint="default"/>
          <w:b/>
          <w:bCs/>
          <w:lang w:val="en-US" w:eastAsia="zh-CN"/>
        </w:rPr>
      </w:pPr>
      <w:r>
        <w:rPr>
          <w:rFonts w:hint="eastAsia"/>
          <w:b/>
          <w:bCs/>
          <w:lang w:val="en-US" w:eastAsia="zh-CN"/>
        </w:rPr>
        <w:t>For FR1-NTN supporting numerology, not only 30kHz but 15kHz shall be supported.</w:t>
      </w:r>
    </w:p>
    <w:p>
      <w:pPr>
        <w:numPr>
          <w:ilvl w:val="0"/>
          <w:numId w:val="6"/>
        </w:numPr>
        <w:ind w:left="420" w:leftChars="0" w:hanging="420" w:firstLineChars="0"/>
        <w:jc w:val="both"/>
        <w:rPr>
          <w:rFonts w:hint="default"/>
          <w:b/>
          <w:bCs/>
          <w:lang w:val="en-US" w:eastAsia="zh-CN"/>
        </w:rPr>
      </w:pPr>
      <w:r>
        <w:rPr>
          <w:rFonts w:hint="eastAsia"/>
          <w:b/>
          <w:bCs/>
          <w:lang w:val="en-US" w:eastAsia="zh-CN"/>
        </w:rPr>
        <w:t>For FR1-NTN and FR2-NTN supporting numerology, same SCS is assumed for SSB and data channels.</w:t>
      </w:r>
    </w:p>
    <w:p>
      <w:pPr>
        <w:rPr>
          <w:rFonts w:hint="eastAsia"/>
          <w:b/>
          <w:bCs/>
          <w:lang w:val="en-US" w:eastAsia="zh-CN"/>
        </w:rPr>
      </w:pPr>
      <w:r>
        <w:rPr>
          <w:rFonts w:hint="eastAsia"/>
          <w:b/>
          <w:bCs/>
          <w:lang w:val="en-US" w:eastAsia="zh-CN"/>
        </w:rPr>
        <w:t>Proposal 1: For applicable SCS, RAN4 shall also consider SCS=15kHz in FR1-NTN numerology.</w:t>
      </w:r>
    </w:p>
    <w:p>
      <w:pPr>
        <w:rPr>
          <w:rFonts w:hint="eastAsia"/>
          <w:b/>
          <w:bCs/>
          <w:lang w:val="en-US" w:eastAsia="zh-CN"/>
        </w:rPr>
      </w:pPr>
      <w:r>
        <w:rPr>
          <w:rFonts w:hint="eastAsia"/>
          <w:b/>
          <w:bCs/>
          <w:lang w:val="en-US" w:eastAsia="zh-CN"/>
        </w:rPr>
        <w:t>Proposal 2: RAN4 shall notice that the same SCS is assumed for SSB and data channels for FR1-NTN and FR2-NTN numerology.</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3: The concrete timing requirements for case 1 and case 2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1: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and NGSO</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lang w:val="en-US"/>
              </w:rPr>
            </w:pPr>
            <w:r>
              <w:rPr>
                <w:rFonts w:hint="eastAsia"/>
                <w:sz w:val="20"/>
                <w:szCs w:val="20"/>
                <w:lang w:val="en-US" w:eastAsia="zh-CN"/>
              </w:rPr>
              <w:t xml:space="preserve"> </w:t>
            </w:r>
            <w:r>
              <w:rPr>
                <w:rFonts w:hint="default" w:ascii="Arial" w:hAnsi="Arial" w:eastAsia="宋体" w:cs="Times New Roman"/>
                <w:b/>
                <w:bCs w:val="0"/>
                <w:kern w:val="0"/>
                <w:sz w:val="18"/>
                <w:szCs w:val="20"/>
                <w:lang w:val="en-US" w:eastAsia="zh-CN" w:bidi="ar"/>
              </w:rPr>
              <w:t>Frequency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FR1-NTN</w:t>
            </w:r>
          </w:p>
        </w:tc>
        <w:tc>
          <w:tcPr>
            <w:tcW w:w="1437" w:type="pct"/>
            <w:tcBorders>
              <w:top w:val="single" w:color="auto" w:sz="4" w:space="0"/>
              <w:left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15</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29*64*T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nil"/>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p>
        </w:tc>
        <w:tc>
          <w:tcPr>
            <w:tcW w:w="1437" w:type="pct"/>
            <w:tcBorders>
              <w:left w:val="single" w:color="auto" w:sz="4" w:space="0"/>
              <w:bottom w:val="nil"/>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eastAsia="zh-CN"/>
              </w:rPr>
            </w:pPr>
            <w:r>
              <w:rPr>
                <w:rFonts w:hint="eastAsia" w:ascii="Arial" w:hAnsi="Arial" w:eastAsia="宋体" w:cs="Times New Roman"/>
                <w:kern w:val="0"/>
                <w:sz w:val="18"/>
                <w:szCs w:val="20"/>
                <w:lang w:val="en-US" w:eastAsia="zh-CN" w:bidi="ar"/>
              </w:rPr>
              <w:t>30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30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22*64*T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4: The concrete timing requirements for case 3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2: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GSO </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eastAsia" w:ascii="Arial" w:hAnsi="Arial" w:eastAsia="宋体" w:cs="Times New Roman"/>
                <w:b/>
                <w:bCs w:val="0"/>
                <w:kern w:val="0"/>
                <w:sz w:val="18"/>
                <w:szCs w:val="20"/>
                <w:lang w:val="en-US" w:eastAsia="zh-CN" w:bidi="ar"/>
              </w:rPr>
              <w:t>f</w:t>
            </w:r>
            <w:r>
              <w:rPr>
                <w:rFonts w:hint="default" w:ascii="Arial" w:hAnsi="Arial" w:eastAsia="宋体" w:cs="Times New Roman"/>
                <w:b/>
                <w:bCs w:val="0"/>
                <w:kern w:val="0"/>
                <w:sz w:val="18"/>
                <w:szCs w:val="20"/>
                <w:lang w:val="en-US" w:eastAsia="zh-CN" w:bidi="ar"/>
              </w:rPr>
              <w:t>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FR</w:t>
            </w:r>
            <w:r>
              <w:rPr>
                <w:rFonts w:hint="eastAsia" w:ascii="Arial" w:hAnsi="Arial" w:eastAsia="宋体" w:cs="Times New Roman"/>
                <w:kern w:val="0"/>
                <w:sz w:val="18"/>
                <w:szCs w:val="20"/>
                <w:lang w:val="en-US" w:eastAsia="zh-CN" w:bidi="ar"/>
              </w:rPr>
              <w:t>2</w:t>
            </w:r>
            <w:r>
              <w:rPr>
                <w:rFonts w:hint="default" w:ascii="Arial" w:hAnsi="Arial" w:eastAsia="宋体" w:cs="Times New Roman"/>
                <w:kern w:val="0"/>
                <w:sz w:val="18"/>
                <w:szCs w:val="20"/>
                <w:lang w:val="en-US" w:eastAsia="zh-CN" w:bidi="ar"/>
              </w:rPr>
              <w:t>-NTN</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120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120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7.5*64*T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5: The concrete timing requirements for case 4 should be:</w:t>
      </w:r>
    </w:p>
    <w:p>
      <w:pPr>
        <w:keepNext w:val="0"/>
        <w:keepLines w:val="0"/>
        <w:pageBreakBefore w:val="0"/>
        <w:widowControl/>
        <w:kinsoku/>
        <w:wordWrap/>
        <w:overflowPunct/>
        <w:topLinePunct w:val="0"/>
        <w:autoSpaceDE/>
        <w:autoSpaceDN/>
        <w:bidi w:val="0"/>
        <w:adjustRightInd/>
        <w:snapToGrid/>
        <w:spacing w:before="0" w:beforeLines="50" w:after="0" w:afterLines="30"/>
        <w:jc w:val="center"/>
        <w:textAlignment w:val="auto"/>
        <w:rPr>
          <w:rFonts w:hint="default"/>
          <w:sz w:val="20"/>
          <w:szCs w:val="20"/>
          <w:lang w:val="en-US" w:eastAsia="zh-CN"/>
        </w:rPr>
      </w:pPr>
      <w:r>
        <w:rPr>
          <w:rFonts w:hint="eastAsia"/>
          <w:sz w:val="20"/>
          <w:szCs w:val="20"/>
          <w:lang w:val="en-US" w:eastAsia="zh-CN"/>
        </w:rPr>
        <w:t>Table 3: T</w:t>
      </w:r>
      <w:r>
        <w:rPr>
          <w:rFonts w:hint="eastAsia"/>
          <w:sz w:val="20"/>
          <w:szCs w:val="20"/>
          <w:vertAlign w:val="subscript"/>
          <w:lang w:val="en-US" w:eastAsia="zh-CN"/>
        </w:rPr>
        <w:t>e_NTN</w:t>
      </w:r>
      <w:r>
        <w:rPr>
          <w:rFonts w:hint="eastAsia"/>
          <w:sz w:val="20"/>
          <w:szCs w:val="20"/>
          <w:lang w:val="en-US" w:eastAsia="zh-CN"/>
        </w:rPr>
        <w:t xml:space="preserve"> timing error limit for mobile VSAT is served by NGSO </w:t>
      </w:r>
    </w:p>
    <w:tbl>
      <w:tblPr>
        <w:tblStyle w:val="30"/>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759"/>
        <w:gridCol w:w="2423"/>
        <w:gridCol w:w="2584"/>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eastAsia" w:ascii="Arial" w:hAnsi="Arial" w:eastAsia="宋体" w:cs="Times New Roman"/>
                <w:b/>
                <w:bCs w:val="0"/>
                <w:kern w:val="0"/>
                <w:sz w:val="18"/>
                <w:szCs w:val="20"/>
                <w:lang w:val="en-US" w:eastAsia="zh-CN" w:bidi="ar"/>
              </w:rPr>
              <w:t>f</w:t>
            </w:r>
            <w:r>
              <w:rPr>
                <w:rFonts w:hint="default" w:ascii="Arial" w:hAnsi="Arial" w:eastAsia="宋体" w:cs="Times New Roman"/>
                <w:b/>
                <w:bCs w:val="0"/>
                <w:kern w:val="0"/>
                <w:sz w:val="18"/>
                <w:szCs w:val="20"/>
                <w:lang w:val="en-US" w:eastAsia="zh-CN" w:bidi="ar"/>
              </w:rPr>
              <w:t>requency Range</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SSB signals (kHz)</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SCS of uplink signals (kHz)</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b/>
                <w:bCs w:val="0"/>
                <w:kern w:val="0"/>
                <w:sz w:val="18"/>
                <w:szCs w:val="20"/>
                <w:lang w:val="en-US" w:eastAsia="zh-CN" w:bidi="ar"/>
              </w:rPr>
              <w:t>T</w:t>
            </w:r>
            <w:r>
              <w:rPr>
                <w:rFonts w:hint="default" w:ascii="Arial" w:hAnsi="Arial" w:eastAsia="宋体" w:cs="Times New Roman"/>
                <w:b/>
                <w:bCs w:val="0"/>
                <w:kern w:val="0"/>
                <w:sz w:val="18"/>
                <w:szCs w:val="20"/>
                <w:vertAlign w:val="subscript"/>
                <w:lang w:val="en-US" w:eastAsia="zh-CN" w:bidi="ar"/>
              </w:rPr>
              <w:t>e</w:t>
            </w:r>
            <w:r>
              <w:rPr>
                <w:rFonts w:hint="default" w:ascii="Arial" w:hAnsi="Arial" w:eastAsia="Times New Roman" w:cs="Times New Roman"/>
                <w:b/>
                <w:bCs w:val="0"/>
                <w:kern w:val="0"/>
                <w:sz w:val="18"/>
                <w:szCs w:val="20"/>
                <w:vertAlign w:val="subscript"/>
                <w:lang w:val="en-US" w:eastAsia="zh-CN" w:bidi="ar"/>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FR</w:t>
            </w:r>
            <w:r>
              <w:rPr>
                <w:rFonts w:hint="eastAsia" w:ascii="Arial" w:hAnsi="Arial" w:eastAsia="宋体" w:cs="Times New Roman"/>
                <w:kern w:val="0"/>
                <w:sz w:val="18"/>
                <w:szCs w:val="20"/>
                <w:lang w:val="en-US" w:eastAsia="zh-CN" w:bidi="ar"/>
              </w:rPr>
              <w:t>2</w:t>
            </w:r>
            <w:r>
              <w:rPr>
                <w:rFonts w:hint="default" w:ascii="Arial" w:hAnsi="Arial" w:eastAsia="宋体" w:cs="Times New Roman"/>
                <w:kern w:val="0"/>
                <w:sz w:val="18"/>
                <w:szCs w:val="20"/>
                <w:lang w:val="en-US" w:eastAsia="zh-CN" w:bidi="ar"/>
              </w:rPr>
              <w:t>-NTN</w:t>
            </w:r>
          </w:p>
        </w:tc>
        <w:tc>
          <w:tcPr>
            <w:tcW w:w="14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jc w:val="center"/>
              <w:rPr>
                <w:rFonts w:hint="default" w:ascii="Times New Roman" w:hAnsi="Times New Roman" w:cs="Times New Roman"/>
                <w:sz w:val="20"/>
                <w:szCs w:val="20"/>
              </w:rPr>
            </w:pPr>
            <w:r>
              <w:rPr>
                <w:rFonts w:hint="default" w:ascii="Arial" w:hAnsi="Arial" w:eastAsia="宋体" w:cs="Times New Roman"/>
                <w:kern w:val="0"/>
                <w:sz w:val="18"/>
                <w:szCs w:val="20"/>
                <w:lang w:val="en-US" w:eastAsia="zh-CN" w:bidi="ar"/>
              </w:rPr>
              <w:t>120</w:t>
            </w:r>
          </w:p>
        </w:tc>
        <w:tc>
          <w:tcPr>
            <w:tcW w:w="1533"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120</w:t>
            </w:r>
          </w:p>
        </w:tc>
        <w:tc>
          <w:tcPr>
            <w:tcW w:w="985" w:type="pct"/>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szCs w:val="20"/>
                <w:lang w:val="en-US"/>
              </w:rPr>
            </w:pPr>
            <w:r>
              <w:rPr>
                <w:rFonts w:hint="default" w:ascii="Arial" w:hAnsi="Arial" w:eastAsia="宋体" w:cs="Times New Roman"/>
                <w:kern w:val="0"/>
                <w:sz w:val="18"/>
                <w:szCs w:val="20"/>
                <w:lang w:val="en-US" w:eastAsia="zh-CN" w:bidi="ar"/>
              </w:rPr>
              <w:t>7.5*64*T</w:t>
            </w:r>
            <w:r>
              <w:rPr>
                <w:rFonts w:hint="default" w:ascii="Arial" w:hAnsi="Arial" w:eastAsia="宋体" w:cs="Times New Roman"/>
                <w:kern w:val="0"/>
                <w:sz w:val="18"/>
                <w:szCs w:val="20"/>
                <w:vertAlign w:val="subscript"/>
                <w:lang w:val="en-US" w:eastAsia="zh-CN" w:bidi="ar"/>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宋体"/>
                <w:szCs w:val="20"/>
                <w:lang w:val="en-US"/>
              </w:rPr>
            </w:pPr>
            <w:r>
              <w:rPr>
                <w:rFonts w:hint="default" w:ascii="Arial" w:hAnsi="Arial" w:eastAsia="宋体" w:cs="Arial"/>
                <w:kern w:val="0"/>
                <w:sz w:val="18"/>
                <w:szCs w:val="20"/>
                <w:lang w:val="en-US" w:eastAsia="zh-CN" w:bidi="ar"/>
              </w:rPr>
              <w:t>NOTE</w:t>
            </w:r>
            <w:r>
              <w:rPr>
                <w:rFonts w:hint="default" w:ascii="Arial" w:hAnsi="Arial" w:eastAsia="宋体" w:cs="Times New Roman"/>
                <w:kern w:val="0"/>
                <w:sz w:val="18"/>
                <w:szCs w:val="20"/>
                <w:lang w:val="en-US" w:eastAsia="zh-CN" w:bidi="ar"/>
              </w:rPr>
              <w:t xml:space="preserve"> 1:</w:t>
            </w:r>
            <w:r>
              <w:rPr>
                <w:rFonts w:hint="default" w:ascii="Arial" w:hAnsi="Arial" w:eastAsia="宋体" w:cs="Times New Roman"/>
                <w:kern w:val="0"/>
                <w:sz w:val="18"/>
                <w:szCs w:val="20"/>
                <w:lang w:val="en-US" w:eastAsia="zh-CN" w:bidi="ar"/>
              </w:rPr>
              <w:tab/>
            </w:r>
            <w:r>
              <w:rPr>
                <w:rFonts w:hint="default" w:ascii="Arial" w:hAnsi="Arial" w:eastAsia="宋体" w:cs="Times New Roman"/>
                <w:kern w:val="0"/>
                <w:sz w:val="18"/>
                <w:szCs w:val="20"/>
                <w:lang w:val="en-US" w:eastAsia="zh-CN" w:bidi="ar"/>
              </w:rPr>
              <w:t>T</w:t>
            </w:r>
            <w:r>
              <w:rPr>
                <w:rFonts w:hint="default" w:ascii="Arial" w:hAnsi="Arial" w:eastAsia="宋体" w:cs="Times New Roman"/>
                <w:kern w:val="0"/>
                <w:sz w:val="18"/>
                <w:szCs w:val="20"/>
                <w:vertAlign w:val="subscript"/>
                <w:lang w:val="en-US" w:eastAsia="zh-CN" w:bidi="ar"/>
              </w:rPr>
              <w:t>c</w:t>
            </w:r>
            <w:r>
              <w:rPr>
                <w:rFonts w:hint="default" w:ascii="Arial" w:hAnsi="Arial" w:eastAsia="宋体" w:cs="Times New Roman"/>
                <w:kern w:val="0"/>
                <w:sz w:val="18"/>
                <w:szCs w:val="20"/>
                <w:lang w:val="en-US" w:eastAsia="zh-CN" w:bidi="ar"/>
              </w:rPr>
              <w:t xml:space="preserve"> is the basic timing unit defined in TS 38.211 [6]</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6: The side condition could be re-considered compared to the legacy one,especially on the UE movement.</w:t>
      </w:r>
    </w:p>
    <w:p>
      <w:pPr>
        <w:numPr>
          <w:ilvl w:val="0"/>
          <w:numId w:val="0"/>
        </w:numPr>
        <w:overflowPunct w:val="0"/>
        <w:autoSpaceDE w:val="0"/>
        <w:autoSpaceDN w:val="0"/>
        <w:adjustRightInd w:val="0"/>
        <w:spacing w:before="120" w:beforeLines="0" w:after="120" w:afterLines="0" w:line="240" w:lineRule="auto"/>
        <w:jc w:val="both"/>
        <w:textAlignment w:val="baseline"/>
        <w:rPr>
          <w:rFonts w:hint="eastAsia" w:eastAsia="宋体"/>
          <w:b/>
          <w:bCs/>
          <w:sz w:val="22"/>
          <w:lang w:val="en-US" w:eastAsia="zh-CN"/>
        </w:rPr>
      </w:pPr>
      <w:r>
        <w:rPr>
          <w:rFonts w:hint="eastAsia" w:eastAsia="宋体"/>
          <w:b/>
          <w:bCs/>
          <w:sz w:val="22"/>
          <w:lang w:val="en-US" w:eastAsia="zh-CN"/>
        </w:rPr>
        <w:t>Proposal 7: The following potential RRM impacts as follows:</w:t>
      </w:r>
    </w:p>
    <w:p>
      <w:pPr>
        <w:pStyle w:val="19"/>
        <w:keepNext/>
        <w:jc w:val="center"/>
      </w:pPr>
      <w:r>
        <w:t xml:space="preserve">Table </w:t>
      </w:r>
      <w:r>
        <w:rPr>
          <w:rFonts w:hint="eastAsia" w:eastAsia="宋体"/>
          <w:lang w:val="en-US" w:eastAsia="zh-CN"/>
        </w:rPr>
        <w:t>1</w:t>
      </w:r>
      <w:r>
        <w:rPr>
          <w:lang w:val="en-US"/>
        </w:rPr>
        <w:t xml:space="preserve"> Summary of RRM requirements which are possibly impacted by NTN operation in the NTN-K</w:t>
      </w:r>
      <w:r>
        <w:rPr>
          <w:rFonts w:hint="eastAsia" w:eastAsia="宋体"/>
          <w:lang w:val="en-US" w:eastAsia="zh-CN"/>
        </w:rPr>
        <w:t>u</w:t>
      </w:r>
      <w:r>
        <w:rPr>
          <w:lang w:val="en-US"/>
        </w:rPr>
        <w:t xml:space="preserve"> bands</w:t>
      </w:r>
    </w:p>
    <w:tbl>
      <w:tblPr>
        <w:tblStyle w:val="31"/>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eastAsia="宋体"/>
          <w:lang w:eastAsia="zh-CN"/>
        </w:rPr>
      </w:pPr>
      <w:r>
        <w:rPr>
          <w:rFonts w:hint="eastAsia" w:eastAsia="宋体" w:cs="Times New Roman"/>
          <w:b/>
          <w:bCs/>
          <w:sz w:val="22"/>
          <w:lang w:val="en-US" w:eastAsia="zh-CN"/>
        </w:rPr>
        <w:t>Proposal 8: R17 NR NTN related requirements shall be reused or as baseline when we define the FR1-NTN requirements for Ku bands. On the contrary, R18 NR NTN related requirements shall be reused or as baseline when we define the FR2-NTN requirements for Ku bands.</w:t>
      </w:r>
    </w:p>
    <w:p>
      <w:pPr>
        <w:pStyle w:val="77"/>
        <w:numPr>
          <w:ilvl w:val="0"/>
          <w:numId w:val="0"/>
        </w:numPr>
        <w:ind w:left="360" w:hanging="360"/>
        <w:rPr>
          <w:lang w:val="en-US"/>
        </w:rPr>
      </w:pPr>
      <w:r>
        <w:rPr>
          <w:lang w:val="en-US"/>
        </w:rPr>
        <w:t>References</w:t>
      </w:r>
    </w:p>
    <w:p>
      <w:pPr>
        <w:rPr>
          <w:rFonts w:hint="default"/>
          <w:lang w:val="en-US"/>
        </w:rPr>
      </w:pPr>
      <w:bookmarkStart w:id="2" w:name="_Ref114500673"/>
      <w:bookmarkEnd w:id="2"/>
      <w:r>
        <w:rPr>
          <w:rFonts w:hint="eastAsia" w:eastAsia="宋体"/>
          <w:lang w:val="en-US" w:eastAsia="zh-CN"/>
        </w:rPr>
        <w:t xml:space="preserve">[1] </w:t>
      </w:r>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1A1BD16"/>
    <w:multiLevelType w:val="singleLevel"/>
    <w:tmpl w:val="A1A1BD16"/>
    <w:lvl w:ilvl="0" w:tentative="0">
      <w:start w:val="1"/>
      <w:numFmt w:val="bullet"/>
      <w:lvlText w:val=""/>
      <w:lvlJc w:val="left"/>
      <w:pPr>
        <w:ind w:left="420" w:hanging="420"/>
      </w:pPr>
      <w:rPr>
        <w:rFonts w:hint="default" w:ascii="Wingdings" w:hAnsi="Wingdings"/>
      </w:rPr>
    </w:lvl>
  </w:abstractNum>
  <w:abstractNum w:abstractNumId="2">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2A603B27"/>
    <w:multiLevelType w:val="singleLevel"/>
    <w:tmpl w:val="2A603B27"/>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DACCFF4"/>
    <w:multiLevelType w:val="singleLevel"/>
    <w:tmpl w:val="7DACCFF4"/>
    <w:lvl w:ilvl="0" w:tentative="0">
      <w:start w:val="1"/>
      <w:numFmt w:val="bullet"/>
      <w:lvlText w:val=""/>
      <w:lvlJc w:val="left"/>
      <w:pPr>
        <w:ind w:left="420" w:hanging="420"/>
      </w:pPr>
      <w:rPr>
        <w:rFonts w:hint="default" w:ascii="Wingdings" w:hAnsi="Wingdings"/>
      </w:rPr>
    </w:lvl>
  </w:abstractNum>
  <w:num w:numId="1">
    <w:abstractNumId w:val="5"/>
  </w:num>
  <w:num w:numId="2">
    <w:abstractNumId w:val="4"/>
  </w:num>
  <w:num w:numId="3">
    <w:abstractNumId w:val="0"/>
  </w:num>
  <w:num w:numId="4">
    <w:abstractNumId w:val="2"/>
  </w:num>
  <w:num w:numId="5">
    <w:abstractNumId w:val="6"/>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20BE2"/>
    <w:rsid w:val="0033338C"/>
    <w:rsid w:val="0035462D"/>
    <w:rsid w:val="00372470"/>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7FE"/>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8F431E"/>
    <w:rsid w:val="0090271F"/>
    <w:rsid w:val="00902E23"/>
    <w:rsid w:val="009114D7"/>
    <w:rsid w:val="0091348E"/>
    <w:rsid w:val="00917CCB"/>
    <w:rsid w:val="00942EC2"/>
    <w:rsid w:val="00961F49"/>
    <w:rsid w:val="00973023"/>
    <w:rsid w:val="0098113E"/>
    <w:rsid w:val="00985F99"/>
    <w:rsid w:val="009B011C"/>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55938"/>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F1743"/>
    <w:rsid w:val="018F25C8"/>
    <w:rsid w:val="01906A5B"/>
    <w:rsid w:val="01907C39"/>
    <w:rsid w:val="01A050D6"/>
    <w:rsid w:val="01BF1FED"/>
    <w:rsid w:val="01E70C97"/>
    <w:rsid w:val="01EA15CF"/>
    <w:rsid w:val="0227513D"/>
    <w:rsid w:val="02402E7C"/>
    <w:rsid w:val="02505886"/>
    <w:rsid w:val="02667EA7"/>
    <w:rsid w:val="029011A2"/>
    <w:rsid w:val="029C2FAD"/>
    <w:rsid w:val="02A03627"/>
    <w:rsid w:val="02A602E6"/>
    <w:rsid w:val="02AE5D6F"/>
    <w:rsid w:val="02BB37DF"/>
    <w:rsid w:val="02DB4554"/>
    <w:rsid w:val="02EC4357"/>
    <w:rsid w:val="02EE768C"/>
    <w:rsid w:val="02FA1082"/>
    <w:rsid w:val="031778E0"/>
    <w:rsid w:val="0327096F"/>
    <w:rsid w:val="032A315A"/>
    <w:rsid w:val="03481CC2"/>
    <w:rsid w:val="034E163D"/>
    <w:rsid w:val="035E7A94"/>
    <w:rsid w:val="037A1871"/>
    <w:rsid w:val="03983AC0"/>
    <w:rsid w:val="03A1038B"/>
    <w:rsid w:val="03B3498A"/>
    <w:rsid w:val="03BF3D9F"/>
    <w:rsid w:val="03C80AD2"/>
    <w:rsid w:val="03C95263"/>
    <w:rsid w:val="03F0584F"/>
    <w:rsid w:val="03FB5627"/>
    <w:rsid w:val="04076F95"/>
    <w:rsid w:val="040E43A3"/>
    <w:rsid w:val="04242812"/>
    <w:rsid w:val="04383CC9"/>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EF7AAD"/>
    <w:rsid w:val="050C7718"/>
    <w:rsid w:val="05214F03"/>
    <w:rsid w:val="0555772A"/>
    <w:rsid w:val="055E02FB"/>
    <w:rsid w:val="056A3BE2"/>
    <w:rsid w:val="05AE2916"/>
    <w:rsid w:val="05B105BF"/>
    <w:rsid w:val="05B1379B"/>
    <w:rsid w:val="05C6466C"/>
    <w:rsid w:val="05CA02F3"/>
    <w:rsid w:val="05DB67C3"/>
    <w:rsid w:val="05DE172A"/>
    <w:rsid w:val="05F02736"/>
    <w:rsid w:val="05FC3F93"/>
    <w:rsid w:val="06026AB1"/>
    <w:rsid w:val="060D0D66"/>
    <w:rsid w:val="062C2061"/>
    <w:rsid w:val="06311BAC"/>
    <w:rsid w:val="065345F9"/>
    <w:rsid w:val="067C67DB"/>
    <w:rsid w:val="068158A4"/>
    <w:rsid w:val="06895B05"/>
    <w:rsid w:val="068E6EF2"/>
    <w:rsid w:val="069071A1"/>
    <w:rsid w:val="06910540"/>
    <w:rsid w:val="06D870D9"/>
    <w:rsid w:val="06E645CC"/>
    <w:rsid w:val="07007517"/>
    <w:rsid w:val="07073FA3"/>
    <w:rsid w:val="07171EC2"/>
    <w:rsid w:val="072F7FC6"/>
    <w:rsid w:val="0732584E"/>
    <w:rsid w:val="07390858"/>
    <w:rsid w:val="073F724E"/>
    <w:rsid w:val="07514512"/>
    <w:rsid w:val="075A7EF6"/>
    <w:rsid w:val="076202A2"/>
    <w:rsid w:val="076A2A73"/>
    <w:rsid w:val="07AE506C"/>
    <w:rsid w:val="07C22AAD"/>
    <w:rsid w:val="07C3764D"/>
    <w:rsid w:val="07E268EA"/>
    <w:rsid w:val="07F66AC5"/>
    <w:rsid w:val="08336294"/>
    <w:rsid w:val="0833764C"/>
    <w:rsid w:val="08380F8C"/>
    <w:rsid w:val="084677D5"/>
    <w:rsid w:val="0848005E"/>
    <w:rsid w:val="084B1A9E"/>
    <w:rsid w:val="084C657D"/>
    <w:rsid w:val="084D12F0"/>
    <w:rsid w:val="084F7150"/>
    <w:rsid w:val="087B6B61"/>
    <w:rsid w:val="087E40F9"/>
    <w:rsid w:val="08916AA8"/>
    <w:rsid w:val="089F664F"/>
    <w:rsid w:val="08A203F3"/>
    <w:rsid w:val="08AF00C1"/>
    <w:rsid w:val="08B531C0"/>
    <w:rsid w:val="08BB1078"/>
    <w:rsid w:val="08BD1F16"/>
    <w:rsid w:val="08D53034"/>
    <w:rsid w:val="08DA28B3"/>
    <w:rsid w:val="08DD2BEF"/>
    <w:rsid w:val="08F445A7"/>
    <w:rsid w:val="0903652D"/>
    <w:rsid w:val="090556C6"/>
    <w:rsid w:val="09104DCD"/>
    <w:rsid w:val="092060A3"/>
    <w:rsid w:val="09336C26"/>
    <w:rsid w:val="094C40B4"/>
    <w:rsid w:val="094E3C0B"/>
    <w:rsid w:val="095E38C5"/>
    <w:rsid w:val="095F4CFB"/>
    <w:rsid w:val="09606948"/>
    <w:rsid w:val="096E0D4F"/>
    <w:rsid w:val="09736AE0"/>
    <w:rsid w:val="097F70D9"/>
    <w:rsid w:val="098F25F4"/>
    <w:rsid w:val="09A028E1"/>
    <w:rsid w:val="09E30E5D"/>
    <w:rsid w:val="09FE7278"/>
    <w:rsid w:val="0A134329"/>
    <w:rsid w:val="0A143BE1"/>
    <w:rsid w:val="0A286DFB"/>
    <w:rsid w:val="0A5164D1"/>
    <w:rsid w:val="0A537B69"/>
    <w:rsid w:val="0A6C43DE"/>
    <w:rsid w:val="0A9318B7"/>
    <w:rsid w:val="0ABC02E8"/>
    <w:rsid w:val="0AC16484"/>
    <w:rsid w:val="0ACB2015"/>
    <w:rsid w:val="0AD20D5E"/>
    <w:rsid w:val="0AD555AC"/>
    <w:rsid w:val="0AED24FC"/>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165A64"/>
    <w:rsid w:val="0C485EB3"/>
    <w:rsid w:val="0C5161F8"/>
    <w:rsid w:val="0C52360D"/>
    <w:rsid w:val="0C7C1976"/>
    <w:rsid w:val="0C7F638D"/>
    <w:rsid w:val="0C89627C"/>
    <w:rsid w:val="0CAA3B0C"/>
    <w:rsid w:val="0CAC6DE2"/>
    <w:rsid w:val="0CBA5E3E"/>
    <w:rsid w:val="0CC5327E"/>
    <w:rsid w:val="0CCB3B11"/>
    <w:rsid w:val="0CDE55BC"/>
    <w:rsid w:val="0CDF3914"/>
    <w:rsid w:val="0CEA2CF7"/>
    <w:rsid w:val="0D035130"/>
    <w:rsid w:val="0D23336E"/>
    <w:rsid w:val="0D284B82"/>
    <w:rsid w:val="0D3A5239"/>
    <w:rsid w:val="0D3A7039"/>
    <w:rsid w:val="0D4356A8"/>
    <w:rsid w:val="0D501A6D"/>
    <w:rsid w:val="0D636B53"/>
    <w:rsid w:val="0D7E2680"/>
    <w:rsid w:val="0D8735F9"/>
    <w:rsid w:val="0D8972A3"/>
    <w:rsid w:val="0D94436C"/>
    <w:rsid w:val="0D980C13"/>
    <w:rsid w:val="0DB13C44"/>
    <w:rsid w:val="0DB40989"/>
    <w:rsid w:val="0DB607B8"/>
    <w:rsid w:val="0DC22600"/>
    <w:rsid w:val="0DC51AC4"/>
    <w:rsid w:val="0DC63EF2"/>
    <w:rsid w:val="0DD75C5E"/>
    <w:rsid w:val="0DE9579A"/>
    <w:rsid w:val="0DFF4B13"/>
    <w:rsid w:val="0E093416"/>
    <w:rsid w:val="0E2D4DCF"/>
    <w:rsid w:val="0E402695"/>
    <w:rsid w:val="0E6B4543"/>
    <w:rsid w:val="0E777792"/>
    <w:rsid w:val="0E797961"/>
    <w:rsid w:val="0E7B1FCA"/>
    <w:rsid w:val="0E880E39"/>
    <w:rsid w:val="0E9D025B"/>
    <w:rsid w:val="0EA3277B"/>
    <w:rsid w:val="0EA8225F"/>
    <w:rsid w:val="0EAA24D5"/>
    <w:rsid w:val="0ED01837"/>
    <w:rsid w:val="0ED33A29"/>
    <w:rsid w:val="0EF97174"/>
    <w:rsid w:val="0F021563"/>
    <w:rsid w:val="0F0F3D45"/>
    <w:rsid w:val="0F180250"/>
    <w:rsid w:val="0F2550AA"/>
    <w:rsid w:val="0F3A116B"/>
    <w:rsid w:val="0F511411"/>
    <w:rsid w:val="0F703346"/>
    <w:rsid w:val="0F80004E"/>
    <w:rsid w:val="0F871EAB"/>
    <w:rsid w:val="0F9F1528"/>
    <w:rsid w:val="0FA6689D"/>
    <w:rsid w:val="0FDF5A14"/>
    <w:rsid w:val="1008703A"/>
    <w:rsid w:val="10126FBC"/>
    <w:rsid w:val="103809FF"/>
    <w:rsid w:val="10764104"/>
    <w:rsid w:val="1096068D"/>
    <w:rsid w:val="10B951CF"/>
    <w:rsid w:val="10BA53FD"/>
    <w:rsid w:val="10BB3068"/>
    <w:rsid w:val="10C23AFA"/>
    <w:rsid w:val="10D82C05"/>
    <w:rsid w:val="10FF2114"/>
    <w:rsid w:val="110E3EB6"/>
    <w:rsid w:val="11131D94"/>
    <w:rsid w:val="111778A8"/>
    <w:rsid w:val="111E4B32"/>
    <w:rsid w:val="1124277B"/>
    <w:rsid w:val="113D59D7"/>
    <w:rsid w:val="115958E8"/>
    <w:rsid w:val="11617971"/>
    <w:rsid w:val="11622F64"/>
    <w:rsid w:val="116C0AA4"/>
    <w:rsid w:val="116F4939"/>
    <w:rsid w:val="11846297"/>
    <w:rsid w:val="118660F9"/>
    <w:rsid w:val="11AD4D58"/>
    <w:rsid w:val="11B67206"/>
    <w:rsid w:val="11BA4661"/>
    <w:rsid w:val="11BA6A1A"/>
    <w:rsid w:val="11E3621C"/>
    <w:rsid w:val="11E411C4"/>
    <w:rsid w:val="11EE75FC"/>
    <w:rsid w:val="11FA2349"/>
    <w:rsid w:val="12044AB3"/>
    <w:rsid w:val="120E4E60"/>
    <w:rsid w:val="12342A01"/>
    <w:rsid w:val="12533BE9"/>
    <w:rsid w:val="125B1CEE"/>
    <w:rsid w:val="126548EE"/>
    <w:rsid w:val="12817181"/>
    <w:rsid w:val="129E267E"/>
    <w:rsid w:val="129E41E5"/>
    <w:rsid w:val="12AA4BE9"/>
    <w:rsid w:val="12AD464A"/>
    <w:rsid w:val="12C003F7"/>
    <w:rsid w:val="12C7679B"/>
    <w:rsid w:val="12CB658F"/>
    <w:rsid w:val="12CC34CB"/>
    <w:rsid w:val="12D04177"/>
    <w:rsid w:val="12DD774D"/>
    <w:rsid w:val="12E20B88"/>
    <w:rsid w:val="12E85A12"/>
    <w:rsid w:val="12EB04FE"/>
    <w:rsid w:val="13026866"/>
    <w:rsid w:val="131F3842"/>
    <w:rsid w:val="133E4EC4"/>
    <w:rsid w:val="136404F3"/>
    <w:rsid w:val="137E2663"/>
    <w:rsid w:val="13B61E8E"/>
    <w:rsid w:val="13BD2572"/>
    <w:rsid w:val="13BE1FBB"/>
    <w:rsid w:val="13C23A1B"/>
    <w:rsid w:val="13C76244"/>
    <w:rsid w:val="13CF28FB"/>
    <w:rsid w:val="13DA7C15"/>
    <w:rsid w:val="13EA5E5F"/>
    <w:rsid w:val="14107AE9"/>
    <w:rsid w:val="14175E0A"/>
    <w:rsid w:val="141F1BA5"/>
    <w:rsid w:val="142A2204"/>
    <w:rsid w:val="1472255F"/>
    <w:rsid w:val="14782396"/>
    <w:rsid w:val="148942E3"/>
    <w:rsid w:val="148B031E"/>
    <w:rsid w:val="14AC25B0"/>
    <w:rsid w:val="14AE0BED"/>
    <w:rsid w:val="14AF303C"/>
    <w:rsid w:val="14BE55AD"/>
    <w:rsid w:val="14E21050"/>
    <w:rsid w:val="14E52CFF"/>
    <w:rsid w:val="1502113A"/>
    <w:rsid w:val="150D2EFA"/>
    <w:rsid w:val="151308D4"/>
    <w:rsid w:val="151E3433"/>
    <w:rsid w:val="15250840"/>
    <w:rsid w:val="15281376"/>
    <w:rsid w:val="1534197E"/>
    <w:rsid w:val="1538725F"/>
    <w:rsid w:val="15422545"/>
    <w:rsid w:val="156508EF"/>
    <w:rsid w:val="15693006"/>
    <w:rsid w:val="156A5AB1"/>
    <w:rsid w:val="15716A99"/>
    <w:rsid w:val="157177C3"/>
    <w:rsid w:val="1581047E"/>
    <w:rsid w:val="15890531"/>
    <w:rsid w:val="15895642"/>
    <w:rsid w:val="15A444EB"/>
    <w:rsid w:val="15B0540D"/>
    <w:rsid w:val="15B7532E"/>
    <w:rsid w:val="15C56F14"/>
    <w:rsid w:val="15C84147"/>
    <w:rsid w:val="15CA017F"/>
    <w:rsid w:val="15D71AD5"/>
    <w:rsid w:val="15DC38C2"/>
    <w:rsid w:val="15F23B4A"/>
    <w:rsid w:val="15FC08F6"/>
    <w:rsid w:val="1646133C"/>
    <w:rsid w:val="165931D9"/>
    <w:rsid w:val="16682D3E"/>
    <w:rsid w:val="167046E9"/>
    <w:rsid w:val="167E382D"/>
    <w:rsid w:val="16D43DC5"/>
    <w:rsid w:val="16DC0535"/>
    <w:rsid w:val="170716B6"/>
    <w:rsid w:val="17315D5C"/>
    <w:rsid w:val="1748083E"/>
    <w:rsid w:val="174D24DD"/>
    <w:rsid w:val="17553F9F"/>
    <w:rsid w:val="175623CE"/>
    <w:rsid w:val="176538DA"/>
    <w:rsid w:val="178246D4"/>
    <w:rsid w:val="17914610"/>
    <w:rsid w:val="1794775D"/>
    <w:rsid w:val="17A24A7D"/>
    <w:rsid w:val="17C376AD"/>
    <w:rsid w:val="17CB4905"/>
    <w:rsid w:val="17D01F3A"/>
    <w:rsid w:val="17DC7DAF"/>
    <w:rsid w:val="17DD1CB2"/>
    <w:rsid w:val="17DF40F7"/>
    <w:rsid w:val="180224D1"/>
    <w:rsid w:val="180E4FC5"/>
    <w:rsid w:val="18171331"/>
    <w:rsid w:val="18396192"/>
    <w:rsid w:val="18466B2E"/>
    <w:rsid w:val="184A4BE3"/>
    <w:rsid w:val="185060EC"/>
    <w:rsid w:val="185A42FA"/>
    <w:rsid w:val="186829A6"/>
    <w:rsid w:val="18870C54"/>
    <w:rsid w:val="189D2207"/>
    <w:rsid w:val="18A211F6"/>
    <w:rsid w:val="18A45C40"/>
    <w:rsid w:val="18D57338"/>
    <w:rsid w:val="18D82C9E"/>
    <w:rsid w:val="18E96032"/>
    <w:rsid w:val="18EE62E8"/>
    <w:rsid w:val="18EF6677"/>
    <w:rsid w:val="18F62584"/>
    <w:rsid w:val="18F96461"/>
    <w:rsid w:val="1903629F"/>
    <w:rsid w:val="19116F8E"/>
    <w:rsid w:val="192344FC"/>
    <w:rsid w:val="19551A74"/>
    <w:rsid w:val="195F7D63"/>
    <w:rsid w:val="197C2433"/>
    <w:rsid w:val="19933139"/>
    <w:rsid w:val="19A7610F"/>
    <w:rsid w:val="19AC4F46"/>
    <w:rsid w:val="19D57461"/>
    <w:rsid w:val="19E70437"/>
    <w:rsid w:val="19E74602"/>
    <w:rsid w:val="19EE7D0B"/>
    <w:rsid w:val="1A077D86"/>
    <w:rsid w:val="1A085685"/>
    <w:rsid w:val="1A191F3E"/>
    <w:rsid w:val="1A2244B6"/>
    <w:rsid w:val="1A3417B8"/>
    <w:rsid w:val="1A34568A"/>
    <w:rsid w:val="1A4B5CA1"/>
    <w:rsid w:val="1A5163D6"/>
    <w:rsid w:val="1A54768F"/>
    <w:rsid w:val="1A5A669E"/>
    <w:rsid w:val="1A615557"/>
    <w:rsid w:val="1A796C32"/>
    <w:rsid w:val="1AAB563E"/>
    <w:rsid w:val="1AB9028C"/>
    <w:rsid w:val="1AC56317"/>
    <w:rsid w:val="1AD6319E"/>
    <w:rsid w:val="1B1075FD"/>
    <w:rsid w:val="1B4B651F"/>
    <w:rsid w:val="1B777BC9"/>
    <w:rsid w:val="1B7D10D5"/>
    <w:rsid w:val="1B8D6B92"/>
    <w:rsid w:val="1B8F3C2A"/>
    <w:rsid w:val="1B936CD6"/>
    <w:rsid w:val="1B990279"/>
    <w:rsid w:val="1B9B4E1C"/>
    <w:rsid w:val="1B9C50E9"/>
    <w:rsid w:val="1BAA5FDD"/>
    <w:rsid w:val="1BAD4429"/>
    <w:rsid w:val="1BB80557"/>
    <w:rsid w:val="1BB9458C"/>
    <w:rsid w:val="1BBC1606"/>
    <w:rsid w:val="1BD91A80"/>
    <w:rsid w:val="1BE641ED"/>
    <w:rsid w:val="1BF24F3D"/>
    <w:rsid w:val="1C1D36F1"/>
    <w:rsid w:val="1C291BAA"/>
    <w:rsid w:val="1C386892"/>
    <w:rsid w:val="1C4A2683"/>
    <w:rsid w:val="1C5E6C62"/>
    <w:rsid w:val="1C5F292D"/>
    <w:rsid w:val="1C5F3B2B"/>
    <w:rsid w:val="1C631E26"/>
    <w:rsid w:val="1C6F10B8"/>
    <w:rsid w:val="1C7530BF"/>
    <w:rsid w:val="1CBC5611"/>
    <w:rsid w:val="1CD22EF6"/>
    <w:rsid w:val="1CD7177C"/>
    <w:rsid w:val="1CDE68ED"/>
    <w:rsid w:val="1CE95E52"/>
    <w:rsid w:val="1CEF02A3"/>
    <w:rsid w:val="1CF005FD"/>
    <w:rsid w:val="1CF6531E"/>
    <w:rsid w:val="1CF73467"/>
    <w:rsid w:val="1D0A5C6D"/>
    <w:rsid w:val="1D0B195E"/>
    <w:rsid w:val="1D22539B"/>
    <w:rsid w:val="1D3570D5"/>
    <w:rsid w:val="1D4E0EB2"/>
    <w:rsid w:val="1D5255A7"/>
    <w:rsid w:val="1D5A2F24"/>
    <w:rsid w:val="1D5C683A"/>
    <w:rsid w:val="1D693FA7"/>
    <w:rsid w:val="1D7B406F"/>
    <w:rsid w:val="1D8F4E65"/>
    <w:rsid w:val="1D977656"/>
    <w:rsid w:val="1DB553DF"/>
    <w:rsid w:val="1DBF1882"/>
    <w:rsid w:val="1DCE009D"/>
    <w:rsid w:val="1DDB7496"/>
    <w:rsid w:val="1DE366AE"/>
    <w:rsid w:val="1DF04BC7"/>
    <w:rsid w:val="1DF17BE1"/>
    <w:rsid w:val="1E3A10AF"/>
    <w:rsid w:val="1E4719A3"/>
    <w:rsid w:val="1E5F1F97"/>
    <w:rsid w:val="1E6C5F4E"/>
    <w:rsid w:val="1E841CFD"/>
    <w:rsid w:val="1EA65561"/>
    <w:rsid w:val="1EAD4127"/>
    <w:rsid w:val="1EB70BD9"/>
    <w:rsid w:val="1EB8797A"/>
    <w:rsid w:val="1ECD4FF5"/>
    <w:rsid w:val="1EEC719E"/>
    <w:rsid w:val="1EF7018A"/>
    <w:rsid w:val="1F0242AA"/>
    <w:rsid w:val="1F044236"/>
    <w:rsid w:val="1F25251D"/>
    <w:rsid w:val="1F2B5438"/>
    <w:rsid w:val="1F332069"/>
    <w:rsid w:val="1F390590"/>
    <w:rsid w:val="1F424A01"/>
    <w:rsid w:val="1F48770A"/>
    <w:rsid w:val="1F4C6748"/>
    <w:rsid w:val="1F595467"/>
    <w:rsid w:val="1F5B2F4F"/>
    <w:rsid w:val="1F5C06A1"/>
    <w:rsid w:val="1FB80942"/>
    <w:rsid w:val="1FBB5482"/>
    <w:rsid w:val="2001262E"/>
    <w:rsid w:val="200D64BE"/>
    <w:rsid w:val="20153599"/>
    <w:rsid w:val="201B2789"/>
    <w:rsid w:val="201F4440"/>
    <w:rsid w:val="20256516"/>
    <w:rsid w:val="20584BED"/>
    <w:rsid w:val="20D60AAE"/>
    <w:rsid w:val="20D84C43"/>
    <w:rsid w:val="20DE5B9D"/>
    <w:rsid w:val="20DF61AB"/>
    <w:rsid w:val="21061BA2"/>
    <w:rsid w:val="2121427E"/>
    <w:rsid w:val="21262CBA"/>
    <w:rsid w:val="212B1C97"/>
    <w:rsid w:val="212F35F6"/>
    <w:rsid w:val="21361FB5"/>
    <w:rsid w:val="214B3D89"/>
    <w:rsid w:val="21575426"/>
    <w:rsid w:val="215C1F77"/>
    <w:rsid w:val="217554C8"/>
    <w:rsid w:val="2177769E"/>
    <w:rsid w:val="217E1DFE"/>
    <w:rsid w:val="21D25FF2"/>
    <w:rsid w:val="21E056C0"/>
    <w:rsid w:val="21F70210"/>
    <w:rsid w:val="22105252"/>
    <w:rsid w:val="22344A9E"/>
    <w:rsid w:val="22363269"/>
    <w:rsid w:val="223C2DAF"/>
    <w:rsid w:val="223E2651"/>
    <w:rsid w:val="224E2864"/>
    <w:rsid w:val="224E39C0"/>
    <w:rsid w:val="226575C4"/>
    <w:rsid w:val="22682C5C"/>
    <w:rsid w:val="226D3EEA"/>
    <w:rsid w:val="226E077B"/>
    <w:rsid w:val="22923DE9"/>
    <w:rsid w:val="22973417"/>
    <w:rsid w:val="229D5794"/>
    <w:rsid w:val="22BF3D00"/>
    <w:rsid w:val="22C16F92"/>
    <w:rsid w:val="22C17DB5"/>
    <w:rsid w:val="22C629AC"/>
    <w:rsid w:val="22CB01D1"/>
    <w:rsid w:val="22DD27AA"/>
    <w:rsid w:val="22E96F92"/>
    <w:rsid w:val="22F870EC"/>
    <w:rsid w:val="23032953"/>
    <w:rsid w:val="23060CEA"/>
    <w:rsid w:val="23085EFE"/>
    <w:rsid w:val="230D3451"/>
    <w:rsid w:val="230E5678"/>
    <w:rsid w:val="231074AE"/>
    <w:rsid w:val="23257653"/>
    <w:rsid w:val="23441FFA"/>
    <w:rsid w:val="234B3276"/>
    <w:rsid w:val="23626B1C"/>
    <w:rsid w:val="23773623"/>
    <w:rsid w:val="2377693D"/>
    <w:rsid w:val="237D6817"/>
    <w:rsid w:val="23996B76"/>
    <w:rsid w:val="239D0541"/>
    <w:rsid w:val="239F724D"/>
    <w:rsid w:val="23AB1721"/>
    <w:rsid w:val="23D95FBD"/>
    <w:rsid w:val="23EF0BE1"/>
    <w:rsid w:val="24002E5E"/>
    <w:rsid w:val="2401409C"/>
    <w:rsid w:val="24044127"/>
    <w:rsid w:val="245734DF"/>
    <w:rsid w:val="245A6743"/>
    <w:rsid w:val="246658A8"/>
    <w:rsid w:val="246A08B9"/>
    <w:rsid w:val="24754B15"/>
    <w:rsid w:val="247F64CC"/>
    <w:rsid w:val="248D420D"/>
    <w:rsid w:val="24921B27"/>
    <w:rsid w:val="24A0121D"/>
    <w:rsid w:val="24B47257"/>
    <w:rsid w:val="24B97631"/>
    <w:rsid w:val="24BD5AA0"/>
    <w:rsid w:val="24C90419"/>
    <w:rsid w:val="24E32289"/>
    <w:rsid w:val="24ED1C1E"/>
    <w:rsid w:val="24F0284D"/>
    <w:rsid w:val="250E20E4"/>
    <w:rsid w:val="25202C91"/>
    <w:rsid w:val="252331A5"/>
    <w:rsid w:val="25266F92"/>
    <w:rsid w:val="252733A0"/>
    <w:rsid w:val="252C19DC"/>
    <w:rsid w:val="253C437F"/>
    <w:rsid w:val="25425A19"/>
    <w:rsid w:val="25433441"/>
    <w:rsid w:val="25490B3E"/>
    <w:rsid w:val="255C215A"/>
    <w:rsid w:val="25614063"/>
    <w:rsid w:val="256F1A53"/>
    <w:rsid w:val="25744759"/>
    <w:rsid w:val="25776C46"/>
    <w:rsid w:val="258B2F2B"/>
    <w:rsid w:val="258B31A0"/>
    <w:rsid w:val="25A14E4D"/>
    <w:rsid w:val="25AB3D1C"/>
    <w:rsid w:val="25AD7BE8"/>
    <w:rsid w:val="25B21B15"/>
    <w:rsid w:val="25D90A1B"/>
    <w:rsid w:val="25E22192"/>
    <w:rsid w:val="25E70E85"/>
    <w:rsid w:val="25F332FF"/>
    <w:rsid w:val="25FE37D6"/>
    <w:rsid w:val="26274BB6"/>
    <w:rsid w:val="263227F8"/>
    <w:rsid w:val="2634261F"/>
    <w:rsid w:val="26356536"/>
    <w:rsid w:val="264542D6"/>
    <w:rsid w:val="26552372"/>
    <w:rsid w:val="268B243A"/>
    <w:rsid w:val="269C627F"/>
    <w:rsid w:val="26A5686B"/>
    <w:rsid w:val="26AA20D3"/>
    <w:rsid w:val="26B43DCE"/>
    <w:rsid w:val="26C705B0"/>
    <w:rsid w:val="26DD3B73"/>
    <w:rsid w:val="26E576C7"/>
    <w:rsid w:val="26E663D1"/>
    <w:rsid w:val="26F04260"/>
    <w:rsid w:val="26F81EB4"/>
    <w:rsid w:val="26FB2F1B"/>
    <w:rsid w:val="27310B9A"/>
    <w:rsid w:val="273970CB"/>
    <w:rsid w:val="273E1C11"/>
    <w:rsid w:val="275265C3"/>
    <w:rsid w:val="276B112C"/>
    <w:rsid w:val="27754A5C"/>
    <w:rsid w:val="27815619"/>
    <w:rsid w:val="279E2679"/>
    <w:rsid w:val="279F554C"/>
    <w:rsid w:val="27D65541"/>
    <w:rsid w:val="27E466F0"/>
    <w:rsid w:val="27EC5FCE"/>
    <w:rsid w:val="28277E8C"/>
    <w:rsid w:val="282B0C73"/>
    <w:rsid w:val="285C775E"/>
    <w:rsid w:val="286651CF"/>
    <w:rsid w:val="28671C46"/>
    <w:rsid w:val="288B1F91"/>
    <w:rsid w:val="2897657D"/>
    <w:rsid w:val="28A7603E"/>
    <w:rsid w:val="28AB19F4"/>
    <w:rsid w:val="28B30E3A"/>
    <w:rsid w:val="28D71E0B"/>
    <w:rsid w:val="28DC39BE"/>
    <w:rsid w:val="28DD5BCB"/>
    <w:rsid w:val="28E01F8A"/>
    <w:rsid w:val="28F045AC"/>
    <w:rsid w:val="29115393"/>
    <w:rsid w:val="291D583E"/>
    <w:rsid w:val="2926654F"/>
    <w:rsid w:val="293B5829"/>
    <w:rsid w:val="29602BC4"/>
    <w:rsid w:val="29754C24"/>
    <w:rsid w:val="299760C7"/>
    <w:rsid w:val="2999350D"/>
    <w:rsid w:val="299E7E78"/>
    <w:rsid w:val="29B759BC"/>
    <w:rsid w:val="29D60A95"/>
    <w:rsid w:val="29D94FA1"/>
    <w:rsid w:val="29E31604"/>
    <w:rsid w:val="29F87E04"/>
    <w:rsid w:val="2A1A7BC7"/>
    <w:rsid w:val="2A2D73EC"/>
    <w:rsid w:val="2A2E4CEB"/>
    <w:rsid w:val="2A3B565F"/>
    <w:rsid w:val="2A3F5A89"/>
    <w:rsid w:val="2A555F3D"/>
    <w:rsid w:val="2A645B0E"/>
    <w:rsid w:val="2A653259"/>
    <w:rsid w:val="2A8F4841"/>
    <w:rsid w:val="2AA369DD"/>
    <w:rsid w:val="2AAE39DE"/>
    <w:rsid w:val="2AB32B2A"/>
    <w:rsid w:val="2AC55C66"/>
    <w:rsid w:val="2AD06022"/>
    <w:rsid w:val="2AD63975"/>
    <w:rsid w:val="2ADD1B0D"/>
    <w:rsid w:val="2AEC47FC"/>
    <w:rsid w:val="2AF1331E"/>
    <w:rsid w:val="2AF81BE3"/>
    <w:rsid w:val="2AFF23A5"/>
    <w:rsid w:val="2B024C79"/>
    <w:rsid w:val="2B20324F"/>
    <w:rsid w:val="2B361003"/>
    <w:rsid w:val="2B3762A6"/>
    <w:rsid w:val="2B3C6641"/>
    <w:rsid w:val="2B4144E2"/>
    <w:rsid w:val="2B51786F"/>
    <w:rsid w:val="2B532272"/>
    <w:rsid w:val="2B5B0F6E"/>
    <w:rsid w:val="2B925FDF"/>
    <w:rsid w:val="2B97510E"/>
    <w:rsid w:val="2B9970F1"/>
    <w:rsid w:val="2BE46810"/>
    <w:rsid w:val="2BE501C7"/>
    <w:rsid w:val="2BED2E55"/>
    <w:rsid w:val="2C0028BD"/>
    <w:rsid w:val="2C1738CF"/>
    <w:rsid w:val="2C1945D8"/>
    <w:rsid w:val="2C1B1368"/>
    <w:rsid w:val="2C6420B7"/>
    <w:rsid w:val="2C6C7918"/>
    <w:rsid w:val="2C783906"/>
    <w:rsid w:val="2C7E3B86"/>
    <w:rsid w:val="2CB5787B"/>
    <w:rsid w:val="2CCA4381"/>
    <w:rsid w:val="2CD30F03"/>
    <w:rsid w:val="2CDF1B63"/>
    <w:rsid w:val="2CF1389A"/>
    <w:rsid w:val="2CF249BE"/>
    <w:rsid w:val="2CF92346"/>
    <w:rsid w:val="2CFC1554"/>
    <w:rsid w:val="2CFF3512"/>
    <w:rsid w:val="2D013765"/>
    <w:rsid w:val="2D070D62"/>
    <w:rsid w:val="2D0B7148"/>
    <w:rsid w:val="2D17770B"/>
    <w:rsid w:val="2D354DCA"/>
    <w:rsid w:val="2D4C5FFB"/>
    <w:rsid w:val="2D6E6943"/>
    <w:rsid w:val="2D7E4AF7"/>
    <w:rsid w:val="2D8519AC"/>
    <w:rsid w:val="2D87777E"/>
    <w:rsid w:val="2D8E349F"/>
    <w:rsid w:val="2D9469E6"/>
    <w:rsid w:val="2D9D7A77"/>
    <w:rsid w:val="2DAF78FF"/>
    <w:rsid w:val="2DD93F77"/>
    <w:rsid w:val="2DDE7A41"/>
    <w:rsid w:val="2DE116CE"/>
    <w:rsid w:val="2DEF20F0"/>
    <w:rsid w:val="2DFE0672"/>
    <w:rsid w:val="2E041306"/>
    <w:rsid w:val="2E106E4C"/>
    <w:rsid w:val="2E246D3F"/>
    <w:rsid w:val="2E36469A"/>
    <w:rsid w:val="2E4C211D"/>
    <w:rsid w:val="2E4D7F49"/>
    <w:rsid w:val="2E4E05E7"/>
    <w:rsid w:val="2E4E1129"/>
    <w:rsid w:val="2E5A472E"/>
    <w:rsid w:val="2E5B5EA2"/>
    <w:rsid w:val="2E621008"/>
    <w:rsid w:val="2E6446EB"/>
    <w:rsid w:val="2E7F0E61"/>
    <w:rsid w:val="2E7F686F"/>
    <w:rsid w:val="2E870765"/>
    <w:rsid w:val="2E8D0791"/>
    <w:rsid w:val="2E9B39A1"/>
    <w:rsid w:val="2EAF6BB3"/>
    <w:rsid w:val="2EE5675B"/>
    <w:rsid w:val="2F047EE8"/>
    <w:rsid w:val="2F082414"/>
    <w:rsid w:val="2F085C75"/>
    <w:rsid w:val="2F2B12A9"/>
    <w:rsid w:val="2F524A74"/>
    <w:rsid w:val="2F5A4B10"/>
    <w:rsid w:val="2F626907"/>
    <w:rsid w:val="2F7505E3"/>
    <w:rsid w:val="2F956224"/>
    <w:rsid w:val="2FA23A7C"/>
    <w:rsid w:val="2FA30525"/>
    <w:rsid w:val="2FB449B9"/>
    <w:rsid w:val="2FBD105F"/>
    <w:rsid w:val="2FC73BC7"/>
    <w:rsid w:val="2FD128B8"/>
    <w:rsid w:val="2FD33F66"/>
    <w:rsid w:val="2FD408E0"/>
    <w:rsid w:val="2FD5001D"/>
    <w:rsid w:val="2FE311E4"/>
    <w:rsid w:val="2FF608DC"/>
    <w:rsid w:val="2FFD3FAC"/>
    <w:rsid w:val="3004586C"/>
    <w:rsid w:val="30067266"/>
    <w:rsid w:val="30160ACC"/>
    <w:rsid w:val="3045081F"/>
    <w:rsid w:val="30455AC0"/>
    <w:rsid w:val="306825DD"/>
    <w:rsid w:val="30834BF9"/>
    <w:rsid w:val="30944718"/>
    <w:rsid w:val="309A02D0"/>
    <w:rsid w:val="30C01078"/>
    <w:rsid w:val="30CF0FD9"/>
    <w:rsid w:val="30F34FAE"/>
    <w:rsid w:val="310A0E65"/>
    <w:rsid w:val="3133127A"/>
    <w:rsid w:val="31353CD7"/>
    <w:rsid w:val="313E620E"/>
    <w:rsid w:val="313E6CDE"/>
    <w:rsid w:val="31727F68"/>
    <w:rsid w:val="317662E9"/>
    <w:rsid w:val="31954796"/>
    <w:rsid w:val="31962DAE"/>
    <w:rsid w:val="319F0073"/>
    <w:rsid w:val="31B9498A"/>
    <w:rsid w:val="31E83834"/>
    <w:rsid w:val="31EE64B9"/>
    <w:rsid w:val="32044DED"/>
    <w:rsid w:val="32051176"/>
    <w:rsid w:val="320C562E"/>
    <w:rsid w:val="324B22D2"/>
    <w:rsid w:val="32575E9A"/>
    <w:rsid w:val="325C3AF5"/>
    <w:rsid w:val="325C5B7B"/>
    <w:rsid w:val="326B5445"/>
    <w:rsid w:val="327A0FE8"/>
    <w:rsid w:val="329F684F"/>
    <w:rsid w:val="32B26B6D"/>
    <w:rsid w:val="32C92CF9"/>
    <w:rsid w:val="32EE4440"/>
    <w:rsid w:val="32F96ACA"/>
    <w:rsid w:val="330258B3"/>
    <w:rsid w:val="33054642"/>
    <w:rsid w:val="33106E3B"/>
    <w:rsid w:val="33294383"/>
    <w:rsid w:val="333E4968"/>
    <w:rsid w:val="334A28B5"/>
    <w:rsid w:val="334B6519"/>
    <w:rsid w:val="334F5C93"/>
    <w:rsid w:val="335D5DB2"/>
    <w:rsid w:val="337E28B4"/>
    <w:rsid w:val="33951969"/>
    <w:rsid w:val="339B5E01"/>
    <w:rsid w:val="33A31D7A"/>
    <w:rsid w:val="33D163EF"/>
    <w:rsid w:val="33D45DFD"/>
    <w:rsid w:val="33E605A3"/>
    <w:rsid w:val="33E706E6"/>
    <w:rsid w:val="33F14703"/>
    <w:rsid w:val="33F7797D"/>
    <w:rsid w:val="3406027F"/>
    <w:rsid w:val="342F3DB9"/>
    <w:rsid w:val="343D3142"/>
    <w:rsid w:val="345A0509"/>
    <w:rsid w:val="345B2367"/>
    <w:rsid w:val="34672008"/>
    <w:rsid w:val="348B5095"/>
    <w:rsid w:val="349C31F7"/>
    <w:rsid w:val="34A54544"/>
    <w:rsid w:val="34AE0539"/>
    <w:rsid w:val="34AF3083"/>
    <w:rsid w:val="34B017ED"/>
    <w:rsid w:val="34C20AA1"/>
    <w:rsid w:val="34CD5068"/>
    <w:rsid w:val="34CE2B5B"/>
    <w:rsid w:val="34D747C2"/>
    <w:rsid w:val="34E944F6"/>
    <w:rsid w:val="34E94AA0"/>
    <w:rsid w:val="35072EAD"/>
    <w:rsid w:val="350960B1"/>
    <w:rsid w:val="35150114"/>
    <w:rsid w:val="351608A7"/>
    <w:rsid w:val="35217336"/>
    <w:rsid w:val="35290A77"/>
    <w:rsid w:val="352A0B4B"/>
    <w:rsid w:val="35356F10"/>
    <w:rsid w:val="354840CB"/>
    <w:rsid w:val="355C013C"/>
    <w:rsid w:val="3565420B"/>
    <w:rsid w:val="356A601B"/>
    <w:rsid w:val="3583595D"/>
    <w:rsid w:val="35841013"/>
    <w:rsid w:val="358B79C9"/>
    <w:rsid w:val="359A00B9"/>
    <w:rsid w:val="35C93DF3"/>
    <w:rsid w:val="35F853BB"/>
    <w:rsid w:val="35FB1676"/>
    <w:rsid w:val="360120A7"/>
    <w:rsid w:val="361526DE"/>
    <w:rsid w:val="36225127"/>
    <w:rsid w:val="36237E20"/>
    <w:rsid w:val="36286678"/>
    <w:rsid w:val="362979CB"/>
    <w:rsid w:val="363803C7"/>
    <w:rsid w:val="36560C0B"/>
    <w:rsid w:val="365B28AF"/>
    <w:rsid w:val="367620D2"/>
    <w:rsid w:val="3686664E"/>
    <w:rsid w:val="3689139F"/>
    <w:rsid w:val="369608CE"/>
    <w:rsid w:val="369B2954"/>
    <w:rsid w:val="36A238B1"/>
    <w:rsid w:val="36BA0FCB"/>
    <w:rsid w:val="36C1037B"/>
    <w:rsid w:val="36C9319E"/>
    <w:rsid w:val="36D067A6"/>
    <w:rsid w:val="37070D11"/>
    <w:rsid w:val="37175525"/>
    <w:rsid w:val="37201F64"/>
    <w:rsid w:val="373F53DD"/>
    <w:rsid w:val="375948AC"/>
    <w:rsid w:val="376B28D6"/>
    <w:rsid w:val="376C5D00"/>
    <w:rsid w:val="376D427E"/>
    <w:rsid w:val="376E276D"/>
    <w:rsid w:val="37724E83"/>
    <w:rsid w:val="37983FB2"/>
    <w:rsid w:val="37A04E93"/>
    <w:rsid w:val="37A31CDF"/>
    <w:rsid w:val="37AB1B65"/>
    <w:rsid w:val="37CF154C"/>
    <w:rsid w:val="37EA0A17"/>
    <w:rsid w:val="380A7603"/>
    <w:rsid w:val="380B0BB2"/>
    <w:rsid w:val="380D32F1"/>
    <w:rsid w:val="380D5D0D"/>
    <w:rsid w:val="38196915"/>
    <w:rsid w:val="382F2C1E"/>
    <w:rsid w:val="38716CD9"/>
    <w:rsid w:val="38801C6C"/>
    <w:rsid w:val="38834A3E"/>
    <w:rsid w:val="38851608"/>
    <w:rsid w:val="38A45712"/>
    <w:rsid w:val="38A47DD9"/>
    <w:rsid w:val="38B04451"/>
    <w:rsid w:val="38CC1F91"/>
    <w:rsid w:val="38CC35B4"/>
    <w:rsid w:val="38D10166"/>
    <w:rsid w:val="38EA5FB0"/>
    <w:rsid w:val="3908401F"/>
    <w:rsid w:val="39207FD2"/>
    <w:rsid w:val="3933207C"/>
    <w:rsid w:val="394668D6"/>
    <w:rsid w:val="394B37F2"/>
    <w:rsid w:val="394C5A0D"/>
    <w:rsid w:val="39532C2F"/>
    <w:rsid w:val="397458FC"/>
    <w:rsid w:val="398C2C91"/>
    <w:rsid w:val="39985F30"/>
    <w:rsid w:val="39D3500A"/>
    <w:rsid w:val="39D96419"/>
    <w:rsid w:val="39DB057E"/>
    <w:rsid w:val="39E55169"/>
    <w:rsid w:val="39E84553"/>
    <w:rsid w:val="39F4018B"/>
    <w:rsid w:val="39F72E22"/>
    <w:rsid w:val="3A094E52"/>
    <w:rsid w:val="3A144A89"/>
    <w:rsid w:val="3A174971"/>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5256F"/>
    <w:rsid w:val="3B7F36AC"/>
    <w:rsid w:val="3B822235"/>
    <w:rsid w:val="3B861D2E"/>
    <w:rsid w:val="3B965B95"/>
    <w:rsid w:val="3B9B1BC5"/>
    <w:rsid w:val="3BA2309F"/>
    <w:rsid w:val="3BC25680"/>
    <w:rsid w:val="3BD653F5"/>
    <w:rsid w:val="3BE16ECF"/>
    <w:rsid w:val="3C0C1744"/>
    <w:rsid w:val="3C211965"/>
    <w:rsid w:val="3C4708A1"/>
    <w:rsid w:val="3C4B0ED5"/>
    <w:rsid w:val="3C7544C5"/>
    <w:rsid w:val="3C790143"/>
    <w:rsid w:val="3CA91418"/>
    <w:rsid w:val="3CBC1B56"/>
    <w:rsid w:val="3CBD75BF"/>
    <w:rsid w:val="3CC33BCC"/>
    <w:rsid w:val="3CD641A1"/>
    <w:rsid w:val="3CE2490A"/>
    <w:rsid w:val="3CEA648A"/>
    <w:rsid w:val="3D0870AB"/>
    <w:rsid w:val="3D1502D9"/>
    <w:rsid w:val="3D555673"/>
    <w:rsid w:val="3D5657CC"/>
    <w:rsid w:val="3D5D2E26"/>
    <w:rsid w:val="3D6A54CD"/>
    <w:rsid w:val="3D876DDA"/>
    <w:rsid w:val="3D8E5ECA"/>
    <w:rsid w:val="3D8F0A2E"/>
    <w:rsid w:val="3D926692"/>
    <w:rsid w:val="3DAA0159"/>
    <w:rsid w:val="3DB21166"/>
    <w:rsid w:val="3DB52FFB"/>
    <w:rsid w:val="3DB932B8"/>
    <w:rsid w:val="3DD86EA7"/>
    <w:rsid w:val="3DDB0FBF"/>
    <w:rsid w:val="3DDF3C84"/>
    <w:rsid w:val="3DF33233"/>
    <w:rsid w:val="3DF55B8D"/>
    <w:rsid w:val="3DF740D2"/>
    <w:rsid w:val="3E277BDA"/>
    <w:rsid w:val="3E2942BE"/>
    <w:rsid w:val="3E300439"/>
    <w:rsid w:val="3E320B89"/>
    <w:rsid w:val="3E3906BC"/>
    <w:rsid w:val="3E5648B2"/>
    <w:rsid w:val="3E684241"/>
    <w:rsid w:val="3E75521D"/>
    <w:rsid w:val="3E83245B"/>
    <w:rsid w:val="3E8412E9"/>
    <w:rsid w:val="3E9328AF"/>
    <w:rsid w:val="3E9C501E"/>
    <w:rsid w:val="3EBC27E6"/>
    <w:rsid w:val="3ECF4AA3"/>
    <w:rsid w:val="3EDC10D0"/>
    <w:rsid w:val="3EE10368"/>
    <w:rsid w:val="3EF13BC7"/>
    <w:rsid w:val="3EF44FD4"/>
    <w:rsid w:val="3EF53D00"/>
    <w:rsid w:val="3F035371"/>
    <w:rsid w:val="3F0C4369"/>
    <w:rsid w:val="3F2C4235"/>
    <w:rsid w:val="3F2F53AA"/>
    <w:rsid w:val="3F3603B6"/>
    <w:rsid w:val="3F5D2E4D"/>
    <w:rsid w:val="3F5F1F5C"/>
    <w:rsid w:val="3F6A5EE0"/>
    <w:rsid w:val="3F751F35"/>
    <w:rsid w:val="3F8313C0"/>
    <w:rsid w:val="3F8A14CB"/>
    <w:rsid w:val="3F9364E1"/>
    <w:rsid w:val="3F9E0865"/>
    <w:rsid w:val="3FA5009E"/>
    <w:rsid w:val="3FD50D82"/>
    <w:rsid w:val="3FDB1475"/>
    <w:rsid w:val="3FDE5AD9"/>
    <w:rsid w:val="3FE56AF2"/>
    <w:rsid w:val="401C7BD5"/>
    <w:rsid w:val="402417C8"/>
    <w:rsid w:val="402E6E49"/>
    <w:rsid w:val="40372073"/>
    <w:rsid w:val="403B30DF"/>
    <w:rsid w:val="404F52A8"/>
    <w:rsid w:val="40A82619"/>
    <w:rsid w:val="40B6211F"/>
    <w:rsid w:val="40C2573C"/>
    <w:rsid w:val="40D34024"/>
    <w:rsid w:val="40D43BA0"/>
    <w:rsid w:val="40E01030"/>
    <w:rsid w:val="40E241CE"/>
    <w:rsid w:val="40E75B26"/>
    <w:rsid w:val="40EA78D7"/>
    <w:rsid w:val="40EF076E"/>
    <w:rsid w:val="410F42EE"/>
    <w:rsid w:val="41114BBA"/>
    <w:rsid w:val="41153D55"/>
    <w:rsid w:val="412912D7"/>
    <w:rsid w:val="41366B89"/>
    <w:rsid w:val="41643D6B"/>
    <w:rsid w:val="41771599"/>
    <w:rsid w:val="41A04E11"/>
    <w:rsid w:val="41C952EA"/>
    <w:rsid w:val="41DB0F0D"/>
    <w:rsid w:val="41DF32B5"/>
    <w:rsid w:val="420558C2"/>
    <w:rsid w:val="42057B28"/>
    <w:rsid w:val="421052B2"/>
    <w:rsid w:val="42190CC2"/>
    <w:rsid w:val="422E3E2B"/>
    <w:rsid w:val="422F36E3"/>
    <w:rsid w:val="42407C97"/>
    <w:rsid w:val="42491125"/>
    <w:rsid w:val="425C634D"/>
    <w:rsid w:val="42680DCC"/>
    <w:rsid w:val="427A44C2"/>
    <w:rsid w:val="42880654"/>
    <w:rsid w:val="428A5B21"/>
    <w:rsid w:val="428D14EF"/>
    <w:rsid w:val="4296187E"/>
    <w:rsid w:val="42A65AF0"/>
    <w:rsid w:val="42AD56C6"/>
    <w:rsid w:val="42FF71DC"/>
    <w:rsid w:val="42FF7548"/>
    <w:rsid w:val="43006D78"/>
    <w:rsid w:val="43217EC6"/>
    <w:rsid w:val="432B1FC3"/>
    <w:rsid w:val="434D155D"/>
    <w:rsid w:val="43594292"/>
    <w:rsid w:val="435E53D9"/>
    <w:rsid w:val="437A0D2C"/>
    <w:rsid w:val="438607EE"/>
    <w:rsid w:val="43911F91"/>
    <w:rsid w:val="4394491A"/>
    <w:rsid w:val="43997A97"/>
    <w:rsid w:val="439B27FA"/>
    <w:rsid w:val="43BD5DE5"/>
    <w:rsid w:val="43C17B79"/>
    <w:rsid w:val="43CA6D64"/>
    <w:rsid w:val="43D65E39"/>
    <w:rsid w:val="43D6606E"/>
    <w:rsid w:val="43FE3B45"/>
    <w:rsid w:val="441111D7"/>
    <w:rsid w:val="444C64B0"/>
    <w:rsid w:val="444D54BA"/>
    <w:rsid w:val="446E2A13"/>
    <w:rsid w:val="446E6C1A"/>
    <w:rsid w:val="44742FDB"/>
    <w:rsid w:val="448B2102"/>
    <w:rsid w:val="449D508C"/>
    <w:rsid w:val="44B15AF7"/>
    <w:rsid w:val="44B36E39"/>
    <w:rsid w:val="44EC7013"/>
    <w:rsid w:val="44EF65A4"/>
    <w:rsid w:val="44F02519"/>
    <w:rsid w:val="44F41E19"/>
    <w:rsid w:val="44FB3AE3"/>
    <w:rsid w:val="44FF3C64"/>
    <w:rsid w:val="45061393"/>
    <w:rsid w:val="45427AA4"/>
    <w:rsid w:val="45465B65"/>
    <w:rsid w:val="454A33D5"/>
    <w:rsid w:val="45515DC5"/>
    <w:rsid w:val="4552496F"/>
    <w:rsid w:val="455454A2"/>
    <w:rsid w:val="45564CA5"/>
    <w:rsid w:val="455B6233"/>
    <w:rsid w:val="45620AE1"/>
    <w:rsid w:val="456A6A48"/>
    <w:rsid w:val="457C3D14"/>
    <w:rsid w:val="45865E2C"/>
    <w:rsid w:val="45911A43"/>
    <w:rsid w:val="45A16423"/>
    <w:rsid w:val="45A24E61"/>
    <w:rsid w:val="45B457B5"/>
    <w:rsid w:val="45DE2657"/>
    <w:rsid w:val="45F10EC5"/>
    <w:rsid w:val="45F91D99"/>
    <w:rsid w:val="46084CE9"/>
    <w:rsid w:val="460F4303"/>
    <w:rsid w:val="462E7E70"/>
    <w:rsid w:val="463144E8"/>
    <w:rsid w:val="46414DD4"/>
    <w:rsid w:val="46523D01"/>
    <w:rsid w:val="466317E7"/>
    <w:rsid w:val="466E3CCD"/>
    <w:rsid w:val="4676381B"/>
    <w:rsid w:val="467744FD"/>
    <w:rsid w:val="46A746F1"/>
    <w:rsid w:val="46A9603F"/>
    <w:rsid w:val="46AF30F0"/>
    <w:rsid w:val="46B87DA9"/>
    <w:rsid w:val="46D046FE"/>
    <w:rsid w:val="46E12276"/>
    <w:rsid w:val="46E46B2F"/>
    <w:rsid w:val="46F03580"/>
    <w:rsid w:val="46F51A7F"/>
    <w:rsid w:val="46F847CE"/>
    <w:rsid w:val="47140188"/>
    <w:rsid w:val="4714637D"/>
    <w:rsid w:val="471901B2"/>
    <w:rsid w:val="47280D0D"/>
    <w:rsid w:val="47406C6A"/>
    <w:rsid w:val="476B7898"/>
    <w:rsid w:val="47700B34"/>
    <w:rsid w:val="477A6B40"/>
    <w:rsid w:val="47B32E9C"/>
    <w:rsid w:val="47F3266D"/>
    <w:rsid w:val="480B19F6"/>
    <w:rsid w:val="48212AE9"/>
    <w:rsid w:val="485E0907"/>
    <w:rsid w:val="486C4CE7"/>
    <w:rsid w:val="487B0789"/>
    <w:rsid w:val="489713C3"/>
    <w:rsid w:val="48A262B1"/>
    <w:rsid w:val="48A61EC2"/>
    <w:rsid w:val="48BA3284"/>
    <w:rsid w:val="48BC6665"/>
    <w:rsid w:val="48CB1CC0"/>
    <w:rsid w:val="48D4307F"/>
    <w:rsid w:val="49013C23"/>
    <w:rsid w:val="490A52ED"/>
    <w:rsid w:val="49120F3F"/>
    <w:rsid w:val="49163580"/>
    <w:rsid w:val="491E6E1E"/>
    <w:rsid w:val="491F7F64"/>
    <w:rsid w:val="492A1BD4"/>
    <w:rsid w:val="494F7DA4"/>
    <w:rsid w:val="49582843"/>
    <w:rsid w:val="49733467"/>
    <w:rsid w:val="49804B05"/>
    <w:rsid w:val="49955841"/>
    <w:rsid w:val="49A418F2"/>
    <w:rsid w:val="49C8100A"/>
    <w:rsid w:val="49F215F7"/>
    <w:rsid w:val="49FF2037"/>
    <w:rsid w:val="4A0A7F62"/>
    <w:rsid w:val="4A1D00AC"/>
    <w:rsid w:val="4A236EB1"/>
    <w:rsid w:val="4A267E35"/>
    <w:rsid w:val="4A270A04"/>
    <w:rsid w:val="4A382D24"/>
    <w:rsid w:val="4A414188"/>
    <w:rsid w:val="4A47591B"/>
    <w:rsid w:val="4A4C4C82"/>
    <w:rsid w:val="4A6F608D"/>
    <w:rsid w:val="4A885CE1"/>
    <w:rsid w:val="4A9452E5"/>
    <w:rsid w:val="4A984C0D"/>
    <w:rsid w:val="4A9F2D3A"/>
    <w:rsid w:val="4ABE4F66"/>
    <w:rsid w:val="4ABF0894"/>
    <w:rsid w:val="4ADB4E28"/>
    <w:rsid w:val="4AEF6A2D"/>
    <w:rsid w:val="4AF16114"/>
    <w:rsid w:val="4AF75899"/>
    <w:rsid w:val="4AF76666"/>
    <w:rsid w:val="4B170E1E"/>
    <w:rsid w:val="4B1A46C6"/>
    <w:rsid w:val="4B1A687B"/>
    <w:rsid w:val="4B2517BD"/>
    <w:rsid w:val="4B333D7A"/>
    <w:rsid w:val="4B3422A0"/>
    <w:rsid w:val="4B4D3A8C"/>
    <w:rsid w:val="4B5523AC"/>
    <w:rsid w:val="4B5D5A49"/>
    <w:rsid w:val="4B766FBE"/>
    <w:rsid w:val="4B7F49FA"/>
    <w:rsid w:val="4B85737C"/>
    <w:rsid w:val="4BB31E0A"/>
    <w:rsid w:val="4BC74E08"/>
    <w:rsid w:val="4BD07997"/>
    <w:rsid w:val="4BDF3E16"/>
    <w:rsid w:val="4BFB1C38"/>
    <w:rsid w:val="4BFE1C3A"/>
    <w:rsid w:val="4C1003D8"/>
    <w:rsid w:val="4C315F18"/>
    <w:rsid w:val="4C352DA8"/>
    <w:rsid w:val="4C366477"/>
    <w:rsid w:val="4C6B6EBB"/>
    <w:rsid w:val="4C6F66E5"/>
    <w:rsid w:val="4C786851"/>
    <w:rsid w:val="4C8E73B9"/>
    <w:rsid w:val="4C942881"/>
    <w:rsid w:val="4C98016E"/>
    <w:rsid w:val="4CAF266F"/>
    <w:rsid w:val="4CC13ECD"/>
    <w:rsid w:val="4CCE3DBA"/>
    <w:rsid w:val="4CD020F9"/>
    <w:rsid w:val="4CD1365E"/>
    <w:rsid w:val="4CEB05BD"/>
    <w:rsid w:val="4D09197C"/>
    <w:rsid w:val="4D0B17EF"/>
    <w:rsid w:val="4D0E4802"/>
    <w:rsid w:val="4D2F7723"/>
    <w:rsid w:val="4D406BD1"/>
    <w:rsid w:val="4D5047B5"/>
    <w:rsid w:val="4D605A45"/>
    <w:rsid w:val="4D73501E"/>
    <w:rsid w:val="4D76573F"/>
    <w:rsid w:val="4D831E51"/>
    <w:rsid w:val="4DA44E4F"/>
    <w:rsid w:val="4DB3573A"/>
    <w:rsid w:val="4DCE74AD"/>
    <w:rsid w:val="4DF521AC"/>
    <w:rsid w:val="4E0A2800"/>
    <w:rsid w:val="4E0D58C8"/>
    <w:rsid w:val="4E1B7929"/>
    <w:rsid w:val="4E4839BC"/>
    <w:rsid w:val="4E4F1509"/>
    <w:rsid w:val="4E5079C5"/>
    <w:rsid w:val="4E5C64FB"/>
    <w:rsid w:val="4E623BD3"/>
    <w:rsid w:val="4E713592"/>
    <w:rsid w:val="4E7906E7"/>
    <w:rsid w:val="4E837C45"/>
    <w:rsid w:val="4E926F9F"/>
    <w:rsid w:val="4E993495"/>
    <w:rsid w:val="4EA30D9D"/>
    <w:rsid w:val="4EA31AE4"/>
    <w:rsid w:val="4EA76E89"/>
    <w:rsid w:val="4EB2058C"/>
    <w:rsid w:val="4EB60C48"/>
    <w:rsid w:val="4EDE147E"/>
    <w:rsid w:val="4EEA3967"/>
    <w:rsid w:val="4EEF1B44"/>
    <w:rsid w:val="4F0A27C3"/>
    <w:rsid w:val="4F0F005F"/>
    <w:rsid w:val="4F165D52"/>
    <w:rsid w:val="4F1D369F"/>
    <w:rsid w:val="4F213A90"/>
    <w:rsid w:val="4F290247"/>
    <w:rsid w:val="4F323CD2"/>
    <w:rsid w:val="4F332C0A"/>
    <w:rsid w:val="4F3B2459"/>
    <w:rsid w:val="4F433DC8"/>
    <w:rsid w:val="4F4628B7"/>
    <w:rsid w:val="4F4B51A5"/>
    <w:rsid w:val="4F4E6EC7"/>
    <w:rsid w:val="4F545D86"/>
    <w:rsid w:val="4F5D5E43"/>
    <w:rsid w:val="4F843B05"/>
    <w:rsid w:val="4F940769"/>
    <w:rsid w:val="4FA14EEC"/>
    <w:rsid w:val="4FA84227"/>
    <w:rsid w:val="4FAD2047"/>
    <w:rsid w:val="4FC231DA"/>
    <w:rsid w:val="4FDD1D8F"/>
    <w:rsid w:val="4FE223EE"/>
    <w:rsid w:val="4FE3097A"/>
    <w:rsid w:val="4FFD3A77"/>
    <w:rsid w:val="50091D29"/>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0F83FA2"/>
    <w:rsid w:val="5100536A"/>
    <w:rsid w:val="51183F80"/>
    <w:rsid w:val="51286AE9"/>
    <w:rsid w:val="516C5BB7"/>
    <w:rsid w:val="517C1235"/>
    <w:rsid w:val="51881606"/>
    <w:rsid w:val="518E2820"/>
    <w:rsid w:val="519C6C10"/>
    <w:rsid w:val="51AC5137"/>
    <w:rsid w:val="51B463DB"/>
    <w:rsid w:val="51C31254"/>
    <w:rsid w:val="51C979DD"/>
    <w:rsid w:val="51D65A91"/>
    <w:rsid w:val="520A22AE"/>
    <w:rsid w:val="52247A0F"/>
    <w:rsid w:val="52307478"/>
    <w:rsid w:val="52385792"/>
    <w:rsid w:val="523D42DD"/>
    <w:rsid w:val="523F6AFF"/>
    <w:rsid w:val="52480D46"/>
    <w:rsid w:val="524F31BF"/>
    <w:rsid w:val="52514A0D"/>
    <w:rsid w:val="5273265C"/>
    <w:rsid w:val="52853336"/>
    <w:rsid w:val="52881D50"/>
    <w:rsid w:val="52991222"/>
    <w:rsid w:val="529B3EC4"/>
    <w:rsid w:val="529C7876"/>
    <w:rsid w:val="52C1084B"/>
    <w:rsid w:val="52DB19FD"/>
    <w:rsid w:val="52E53EC9"/>
    <w:rsid w:val="52EE339D"/>
    <w:rsid w:val="52F61E27"/>
    <w:rsid w:val="52F64812"/>
    <w:rsid w:val="5306292A"/>
    <w:rsid w:val="530822C8"/>
    <w:rsid w:val="533E1E81"/>
    <w:rsid w:val="535F3AF3"/>
    <w:rsid w:val="536F1AF1"/>
    <w:rsid w:val="536F3F83"/>
    <w:rsid w:val="53703E8D"/>
    <w:rsid w:val="53707DDE"/>
    <w:rsid w:val="537334C7"/>
    <w:rsid w:val="537E0058"/>
    <w:rsid w:val="53950AA6"/>
    <w:rsid w:val="53A8102E"/>
    <w:rsid w:val="53C502CE"/>
    <w:rsid w:val="53D02F55"/>
    <w:rsid w:val="53E12D9E"/>
    <w:rsid w:val="53E64B1C"/>
    <w:rsid w:val="53E8652B"/>
    <w:rsid w:val="53EB486A"/>
    <w:rsid w:val="53EE67E9"/>
    <w:rsid w:val="53FD1C03"/>
    <w:rsid w:val="54020BC2"/>
    <w:rsid w:val="540310FA"/>
    <w:rsid w:val="54037045"/>
    <w:rsid w:val="540817F6"/>
    <w:rsid w:val="54270E2A"/>
    <w:rsid w:val="54270F5B"/>
    <w:rsid w:val="54382594"/>
    <w:rsid w:val="543E515D"/>
    <w:rsid w:val="543F413B"/>
    <w:rsid w:val="543F6DB4"/>
    <w:rsid w:val="544B0D54"/>
    <w:rsid w:val="54591CDE"/>
    <w:rsid w:val="54625354"/>
    <w:rsid w:val="546D6CCA"/>
    <w:rsid w:val="54984A43"/>
    <w:rsid w:val="54B55CE3"/>
    <w:rsid w:val="54BA614C"/>
    <w:rsid w:val="54C557E7"/>
    <w:rsid w:val="54C65EC0"/>
    <w:rsid w:val="54D006DC"/>
    <w:rsid w:val="54D43100"/>
    <w:rsid w:val="55067A64"/>
    <w:rsid w:val="552760F6"/>
    <w:rsid w:val="552A09F4"/>
    <w:rsid w:val="552C4622"/>
    <w:rsid w:val="5532296D"/>
    <w:rsid w:val="553D5564"/>
    <w:rsid w:val="555154EE"/>
    <w:rsid w:val="5560481F"/>
    <w:rsid w:val="557414CA"/>
    <w:rsid w:val="558F4A1E"/>
    <w:rsid w:val="55917E28"/>
    <w:rsid w:val="55942252"/>
    <w:rsid w:val="55987FBD"/>
    <w:rsid w:val="55AC7BE9"/>
    <w:rsid w:val="55B41C64"/>
    <w:rsid w:val="55CB0EA2"/>
    <w:rsid w:val="55EC2897"/>
    <w:rsid w:val="55F157AA"/>
    <w:rsid w:val="55FA0B35"/>
    <w:rsid w:val="55FA242D"/>
    <w:rsid w:val="56254C95"/>
    <w:rsid w:val="5630640C"/>
    <w:rsid w:val="5652511E"/>
    <w:rsid w:val="56543A0D"/>
    <w:rsid w:val="565C0156"/>
    <w:rsid w:val="566B50BC"/>
    <w:rsid w:val="566E08BF"/>
    <w:rsid w:val="569E1AC8"/>
    <w:rsid w:val="56A4132F"/>
    <w:rsid w:val="56AC279F"/>
    <w:rsid w:val="56AF2E6F"/>
    <w:rsid w:val="56DF0963"/>
    <w:rsid w:val="56E2575C"/>
    <w:rsid w:val="56E31118"/>
    <w:rsid w:val="56E46A8E"/>
    <w:rsid w:val="56F37D3E"/>
    <w:rsid w:val="56F473C0"/>
    <w:rsid w:val="56FD3D8C"/>
    <w:rsid w:val="57065F83"/>
    <w:rsid w:val="57097BE4"/>
    <w:rsid w:val="570B6550"/>
    <w:rsid w:val="57196157"/>
    <w:rsid w:val="57484C26"/>
    <w:rsid w:val="5758628A"/>
    <w:rsid w:val="57685DFD"/>
    <w:rsid w:val="57745BB6"/>
    <w:rsid w:val="57855787"/>
    <w:rsid w:val="578A1BF3"/>
    <w:rsid w:val="57B02739"/>
    <w:rsid w:val="57BD6C04"/>
    <w:rsid w:val="57C51573"/>
    <w:rsid w:val="57D6036B"/>
    <w:rsid w:val="57D6484A"/>
    <w:rsid w:val="57DE28CC"/>
    <w:rsid w:val="57FF606E"/>
    <w:rsid w:val="580716CC"/>
    <w:rsid w:val="58220A26"/>
    <w:rsid w:val="58381DBD"/>
    <w:rsid w:val="58394C38"/>
    <w:rsid w:val="58423CCA"/>
    <w:rsid w:val="58446DBA"/>
    <w:rsid w:val="584B7C06"/>
    <w:rsid w:val="58510290"/>
    <w:rsid w:val="58535DB5"/>
    <w:rsid w:val="58553705"/>
    <w:rsid w:val="5855370B"/>
    <w:rsid w:val="58590F71"/>
    <w:rsid w:val="587651AC"/>
    <w:rsid w:val="587939C8"/>
    <w:rsid w:val="58931910"/>
    <w:rsid w:val="58932063"/>
    <w:rsid w:val="58B31DD9"/>
    <w:rsid w:val="58B91125"/>
    <w:rsid w:val="58C07443"/>
    <w:rsid w:val="58C64CF3"/>
    <w:rsid w:val="58CB283B"/>
    <w:rsid w:val="58CB3B78"/>
    <w:rsid w:val="58D21B64"/>
    <w:rsid w:val="590D2328"/>
    <w:rsid w:val="590F51DD"/>
    <w:rsid w:val="59232C0B"/>
    <w:rsid w:val="59251BA8"/>
    <w:rsid w:val="593A62F9"/>
    <w:rsid w:val="593E4EE7"/>
    <w:rsid w:val="594D06B7"/>
    <w:rsid w:val="595258C3"/>
    <w:rsid w:val="59754648"/>
    <w:rsid w:val="598D03EC"/>
    <w:rsid w:val="598D7696"/>
    <w:rsid w:val="599C0038"/>
    <w:rsid w:val="59A874AD"/>
    <w:rsid w:val="59AD1771"/>
    <w:rsid w:val="59C43D4D"/>
    <w:rsid w:val="59C83A39"/>
    <w:rsid w:val="59CD0FC2"/>
    <w:rsid w:val="59F40C9E"/>
    <w:rsid w:val="59FB18DA"/>
    <w:rsid w:val="5A261DCD"/>
    <w:rsid w:val="5A344989"/>
    <w:rsid w:val="5A361544"/>
    <w:rsid w:val="5A3F108A"/>
    <w:rsid w:val="5A5B363C"/>
    <w:rsid w:val="5A6D76C0"/>
    <w:rsid w:val="5A723A0D"/>
    <w:rsid w:val="5A762255"/>
    <w:rsid w:val="5A833B0D"/>
    <w:rsid w:val="5A9D621A"/>
    <w:rsid w:val="5AB17106"/>
    <w:rsid w:val="5AC219D6"/>
    <w:rsid w:val="5ACF40CD"/>
    <w:rsid w:val="5AE14981"/>
    <w:rsid w:val="5AFD3B96"/>
    <w:rsid w:val="5B097B76"/>
    <w:rsid w:val="5B0C640C"/>
    <w:rsid w:val="5B2D305D"/>
    <w:rsid w:val="5B344015"/>
    <w:rsid w:val="5B350A21"/>
    <w:rsid w:val="5B3F3F40"/>
    <w:rsid w:val="5B443E9C"/>
    <w:rsid w:val="5B620B4F"/>
    <w:rsid w:val="5B637AE8"/>
    <w:rsid w:val="5B707739"/>
    <w:rsid w:val="5B74479A"/>
    <w:rsid w:val="5B7E0ACC"/>
    <w:rsid w:val="5B956906"/>
    <w:rsid w:val="5BA0525E"/>
    <w:rsid w:val="5BB55204"/>
    <w:rsid w:val="5BCD5911"/>
    <w:rsid w:val="5BCE4EA4"/>
    <w:rsid w:val="5BD209C4"/>
    <w:rsid w:val="5BD637EC"/>
    <w:rsid w:val="5BDE5A43"/>
    <w:rsid w:val="5BE0323A"/>
    <w:rsid w:val="5BE52C87"/>
    <w:rsid w:val="5C1B7F5F"/>
    <w:rsid w:val="5C34166A"/>
    <w:rsid w:val="5C4A36B7"/>
    <w:rsid w:val="5C4E44D4"/>
    <w:rsid w:val="5C5552A6"/>
    <w:rsid w:val="5C570EE3"/>
    <w:rsid w:val="5C975F8A"/>
    <w:rsid w:val="5CD7479C"/>
    <w:rsid w:val="5CE536CF"/>
    <w:rsid w:val="5CE568F8"/>
    <w:rsid w:val="5CE80A78"/>
    <w:rsid w:val="5CF2493D"/>
    <w:rsid w:val="5CF33064"/>
    <w:rsid w:val="5D0576C4"/>
    <w:rsid w:val="5D230368"/>
    <w:rsid w:val="5D255730"/>
    <w:rsid w:val="5D3A0883"/>
    <w:rsid w:val="5D4E1BA7"/>
    <w:rsid w:val="5D5667E0"/>
    <w:rsid w:val="5D580881"/>
    <w:rsid w:val="5D6261CB"/>
    <w:rsid w:val="5D712F5B"/>
    <w:rsid w:val="5DA13534"/>
    <w:rsid w:val="5DA80011"/>
    <w:rsid w:val="5DCB56EC"/>
    <w:rsid w:val="5DCF0D76"/>
    <w:rsid w:val="5DD4601C"/>
    <w:rsid w:val="5DE448D2"/>
    <w:rsid w:val="5DF441FF"/>
    <w:rsid w:val="5E1463C6"/>
    <w:rsid w:val="5E285722"/>
    <w:rsid w:val="5E3B4D31"/>
    <w:rsid w:val="5E3E65D1"/>
    <w:rsid w:val="5E4B7A1D"/>
    <w:rsid w:val="5E50050F"/>
    <w:rsid w:val="5E5D04EF"/>
    <w:rsid w:val="5E68591D"/>
    <w:rsid w:val="5E6E3128"/>
    <w:rsid w:val="5E731D18"/>
    <w:rsid w:val="5E742249"/>
    <w:rsid w:val="5E9268B6"/>
    <w:rsid w:val="5E9E597C"/>
    <w:rsid w:val="5EA25DA7"/>
    <w:rsid w:val="5EA97C8F"/>
    <w:rsid w:val="5EE437F5"/>
    <w:rsid w:val="5EF0645B"/>
    <w:rsid w:val="5F05700F"/>
    <w:rsid w:val="5F0936DE"/>
    <w:rsid w:val="5F171517"/>
    <w:rsid w:val="5F2E2A8A"/>
    <w:rsid w:val="5F414056"/>
    <w:rsid w:val="5F5168E0"/>
    <w:rsid w:val="5F62295E"/>
    <w:rsid w:val="5F790CE9"/>
    <w:rsid w:val="5F7D16C2"/>
    <w:rsid w:val="5F892553"/>
    <w:rsid w:val="5FAB77AE"/>
    <w:rsid w:val="5FB301BB"/>
    <w:rsid w:val="5FBF00D5"/>
    <w:rsid w:val="5FF32A3B"/>
    <w:rsid w:val="600A6271"/>
    <w:rsid w:val="602E29D0"/>
    <w:rsid w:val="60357E4D"/>
    <w:rsid w:val="603E0401"/>
    <w:rsid w:val="6046706E"/>
    <w:rsid w:val="60492B3E"/>
    <w:rsid w:val="60565E64"/>
    <w:rsid w:val="6089047C"/>
    <w:rsid w:val="608C0E83"/>
    <w:rsid w:val="608D4CE3"/>
    <w:rsid w:val="60A859A2"/>
    <w:rsid w:val="60AB29AA"/>
    <w:rsid w:val="60AC67BD"/>
    <w:rsid w:val="60B146B2"/>
    <w:rsid w:val="60C06489"/>
    <w:rsid w:val="60CE2A0E"/>
    <w:rsid w:val="61032E37"/>
    <w:rsid w:val="61204933"/>
    <w:rsid w:val="612354B4"/>
    <w:rsid w:val="6131159B"/>
    <w:rsid w:val="61351A56"/>
    <w:rsid w:val="613F62A8"/>
    <w:rsid w:val="61415F87"/>
    <w:rsid w:val="614822A7"/>
    <w:rsid w:val="614963EE"/>
    <w:rsid w:val="614E6C03"/>
    <w:rsid w:val="615A223E"/>
    <w:rsid w:val="615B47A6"/>
    <w:rsid w:val="616435A6"/>
    <w:rsid w:val="618D5576"/>
    <w:rsid w:val="619940E6"/>
    <w:rsid w:val="619E19B9"/>
    <w:rsid w:val="61A6014E"/>
    <w:rsid w:val="61D63921"/>
    <w:rsid w:val="61DB724C"/>
    <w:rsid w:val="61E643A1"/>
    <w:rsid w:val="61E66CAD"/>
    <w:rsid w:val="61F439C5"/>
    <w:rsid w:val="61F443E9"/>
    <w:rsid w:val="62213533"/>
    <w:rsid w:val="62270D05"/>
    <w:rsid w:val="62305F95"/>
    <w:rsid w:val="62397832"/>
    <w:rsid w:val="62461BF2"/>
    <w:rsid w:val="62607426"/>
    <w:rsid w:val="6278379F"/>
    <w:rsid w:val="62867444"/>
    <w:rsid w:val="628A41A8"/>
    <w:rsid w:val="629D7EE8"/>
    <w:rsid w:val="62A84A93"/>
    <w:rsid w:val="62BC1814"/>
    <w:rsid w:val="62C73A65"/>
    <w:rsid w:val="62CB3A67"/>
    <w:rsid w:val="62D50998"/>
    <w:rsid w:val="62E7507D"/>
    <w:rsid w:val="62F61E46"/>
    <w:rsid w:val="62F67597"/>
    <w:rsid w:val="630C34D0"/>
    <w:rsid w:val="631E48B7"/>
    <w:rsid w:val="6322080B"/>
    <w:rsid w:val="635F6BBD"/>
    <w:rsid w:val="638F7AFC"/>
    <w:rsid w:val="639215D8"/>
    <w:rsid w:val="639B4C77"/>
    <w:rsid w:val="63A36BE5"/>
    <w:rsid w:val="63C04B8A"/>
    <w:rsid w:val="63D42229"/>
    <w:rsid w:val="63D8474D"/>
    <w:rsid w:val="63DB746A"/>
    <w:rsid w:val="63E5033D"/>
    <w:rsid w:val="63EE162B"/>
    <w:rsid w:val="63F75B8A"/>
    <w:rsid w:val="64003199"/>
    <w:rsid w:val="640310C7"/>
    <w:rsid w:val="64155C8D"/>
    <w:rsid w:val="641B0760"/>
    <w:rsid w:val="641E1DE4"/>
    <w:rsid w:val="64203CB4"/>
    <w:rsid w:val="64222857"/>
    <w:rsid w:val="64335EB1"/>
    <w:rsid w:val="64383A64"/>
    <w:rsid w:val="64433CD0"/>
    <w:rsid w:val="64495F72"/>
    <w:rsid w:val="644B25BC"/>
    <w:rsid w:val="647F6D16"/>
    <w:rsid w:val="6498217B"/>
    <w:rsid w:val="64987FF4"/>
    <w:rsid w:val="64D0513C"/>
    <w:rsid w:val="64EB1866"/>
    <w:rsid w:val="64F702F2"/>
    <w:rsid w:val="65046BCA"/>
    <w:rsid w:val="651424EE"/>
    <w:rsid w:val="651E67EB"/>
    <w:rsid w:val="65257BC1"/>
    <w:rsid w:val="65287A29"/>
    <w:rsid w:val="65537EF9"/>
    <w:rsid w:val="65593C2E"/>
    <w:rsid w:val="655E1155"/>
    <w:rsid w:val="655F4773"/>
    <w:rsid w:val="65636455"/>
    <w:rsid w:val="6590252A"/>
    <w:rsid w:val="65A240BE"/>
    <w:rsid w:val="65A273A9"/>
    <w:rsid w:val="65AE5114"/>
    <w:rsid w:val="65B61DD9"/>
    <w:rsid w:val="65BB5075"/>
    <w:rsid w:val="65C76D0B"/>
    <w:rsid w:val="65CB5A52"/>
    <w:rsid w:val="65D23BC4"/>
    <w:rsid w:val="66222BC0"/>
    <w:rsid w:val="662861DC"/>
    <w:rsid w:val="66286B79"/>
    <w:rsid w:val="66306F43"/>
    <w:rsid w:val="66326E97"/>
    <w:rsid w:val="663F4723"/>
    <w:rsid w:val="664615E7"/>
    <w:rsid w:val="665265F4"/>
    <w:rsid w:val="6666302E"/>
    <w:rsid w:val="666F0E5A"/>
    <w:rsid w:val="66943E18"/>
    <w:rsid w:val="6699652A"/>
    <w:rsid w:val="66A93110"/>
    <w:rsid w:val="66AC664F"/>
    <w:rsid w:val="66AF2B2C"/>
    <w:rsid w:val="66D14104"/>
    <w:rsid w:val="66DC3EF7"/>
    <w:rsid w:val="66DE561C"/>
    <w:rsid w:val="66F0190D"/>
    <w:rsid w:val="67064E16"/>
    <w:rsid w:val="672833FF"/>
    <w:rsid w:val="673100D9"/>
    <w:rsid w:val="67447CAA"/>
    <w:rsid w:val="67603184"/>
    <w:rsid w:val="67615909"/>
    <w:rsid w:val="676569B0"/>
    <w:rsid w:val="676818B7"/>
    <w:rsid w:val="676B6D11"/>
    <w:rsid w:val="676E53AF"/>
    <w:rsid w:val="6772565E"/>
    <w:rsid w:val="677D4E65"/>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5448E5"/>
    <w:rsid w:val="68567ADB"/>
    <w:rsid w:val="685A52F7"/>
    <w:rsid w:val="686301D2"/>
    <w:rsid w:val="686F32ED"/>
    <w:rsid w:val="68763CFB"/>
    <w:rsid w:val="68775B46"/>
    <w:rsid w:val="688C2914"/>
    <w:rsid w:val="68AB1911"/>
    <w:rsid w:val="68AC7864"/>
    <w:rsid w:val="68BD141F"/>
    <w:rsid w:val="68C2312F"/>
    <w:rsid w:val="68CC74D0"/>
    <w:rsid w:val="68D53366"/>
    <w:rsid w:val="68DD058C"/>
    <w:rsid w:val="68E84B74"/>
    <w:rsid w:val="68F97892"/>
    <w:rsid w:val="690300E6"/>
    <w:rsid w:val="691F004A"/>
    <w:rsid w:val="692563EE"/>
    <w:rsid w:val="692D6BB4"/>
    <w:rsid w:val="693D18C5"/>
    <w:rsid w:val="69456602"/>
    <w:rsid w:val="69471F8B"/>
    <w:rsid w:val="6965727E"/>
    <w:rsid w:val="69785369"/>
    <w:rsid w:val="69BF2D66"/>
    <w:rsid w:val="69C22990"/>
    <w:rsid w:val="69C62E9A"/>
    <w:rsid w:val="69D9569F"/>
    <w:rsid w:val="69F076EC"/>
    <w:rsid w:val="6A046C7D"/>
    <w:rsid w:val="6A0C4C59"/>
    <w:rsid w:val="6A0C7811"/>
    <w:rsid w:val="6A0E0287"/>
    <w:rsid w:val="6A0E500E"/>
    <w:rsid w:val="6A0E77F1"/>
    <w:rsid w:val="6A3001E9"/>
    <w:rsid w:val="6A55161C"/>
    <w:rsid w:val="6A65568E"/>
    <w:rsid w:val="6A6E67DD"/>
    <w:rsid w:val="6A8213EE"/>
    <w:rsid w:val="6A9553FE"/>
    <w:rsid w:val="6AC30E38"/>
    <w:rsid w:val="6ADB66AC"/>
    <w:rsid w:val="6ADD74FD"/>
    <w:rsid w:val="6B204A1A"/>
    <w:rsid w:val="6B254070"/>
    <w:rsid w:val="6B3816B9"/>
    <w:rsid w:val="6B570F9E"/>
    <w:rsid w:val="6B704D44"/>
    <w:rsid w:val="6B7A4A17"/>
    <w:rsid w:val="6B7F1BF6"/>
    <w:rsid w:val="6B9512FD"/>
    <w:rsid w:val="6BA7070C"/>
    <w:rsid w:val="6BB554FE"/>
    <w:rsid w:val="6BB87BB7"/>
    <w:rsid w:val="6BC12EDC"/>
    <w:rsid w:val="6BE255D8"/>
    <w:rsid w:val="6BE76A97"/>
    <w:rsid w:val="6BF056A3"/>
    <w:rsid w:val="6BF43FAF"/>
    <w:rsid w:val="6BFB78C8"/>
    <w:rsid w:val="6C110991"/>
    <w:rsid w:val="6C1363EA"/>
    <w:rsid w:val="6C1F175D"/>
    <w:rsid w:val="6C3E480C"/>
    <w:rsid w:val="6C4A348A"/>
    <w:rsid w:val="6C4A4478"/>
    <w:rsid w:val="6C5002D5"/>
    <w:rsid w:val="6C64734B"/>
    <w:rsid w:val="6C777224"/>
    <w:rsid w:val="6C7C0FBC"/>
    <w:rsid w:val="6C83219C"/>
    <w:rsid w:val="6C833B41"/>
    <w:rsid w:val="6C97436A"/>
    <w:rsid w:val="6C9803A4"/>
    <w:rsid w:val="6CD323B8"/>
    <w:rsid w:val="6CDD7CF5"/>
    <w:rsid w:val="6CF33107"/>
    <w:rsid w:val="6CFC0F53"/>
    <w:rsid w:val="6D243939"/>
    <w:rsid w:val="6D3125B4"/>
    <w:rsid w:val="6D36200B"/>
    <w:rsid w:val="6D447778"/>
    <w:rsid w:val="6D4A5F2F"/>
    <w:rsid w:val="6D620170"/>
    <w:rsid w:val="6D777E6B"/>
    <w:rsid w:val="6D7A3305"/>
    <w:rsid w:val="6D84645E"/>
    <w:rsid w:val="6D8F437E"/>
    <w:rsid w:val="6D990245"/>
    <w:rsid w:val="6D997573"/>
    <w:rsid w:val="6DA026C8"/>
    <w:rsid w:val="6DA5760F"/>
    <w:rsid w:val="6DAD31F1"/>
    <w:rsid w:val="6DB46943"/>
    <w:rsid w:val="6DC62455"/>
    <w:rsid w:val="6DED42F9"/>
    <w:rsid w:val="6E035FBA"/>
    <w:rsid w:val="6E123F60"/>
    <w:rsid w:val="6E162FAB"/>
    <w:rsid w:val="6E1E4715"/>
    <w:rsid w:val="6E5231A4"/>
    <w:rsid w:val="6E5A40EE"/>
    <w:rsid w:val="6E671D27"/>
    <w:rsid w:val="6E7D48F4"/>
    <w:rsid w:val="6E8A64FD"/>
    <w:rsid w:val="6E9C16AF"/>
    <w:rsid w:val="6E9D390D"/>
    <w:rsid w:val="6EB97BB5"/>
    <w:rsid w:val="6ED72B2B"/>
    <w:rsid w:val="6ED9046A"/>
    <w:rsid w:val="6EE10B05"/>
    <w:rsid w:val="6EF115F9"/>
    <w:rsid w:val="6F0472BB"/>
    <w:rsid w:val="6F17348E"/>
    <w:rsid w:val="6F206808"/>
    <w:rsid w:val="6F2E0C37"/>
    <w:rsid w:val="6F474B62"/>
    <w:rsid w:val="6F537CC8"/>
    <w:rsid w:val="6F5B3B07"/>
    <w:rsid w:val="6F6000F3"/>
    <w:rsid w:val="6F7A7501"/>
    <w:rsid w:val="6FAB7D95"/>
    <w:rsid w:val="6FAD23B4"/>
    <w:rsid w:val="6FAD5E72"/>
    <w:rsid w:val="6FBD7D61"/>
    <w:rsid w:val="6FC42EAB"/>
    <w:rsid w:val="6FD101F3"/>
    <w:rsid w:val="6FDC5C4D"/>
    <w:rsid w:val="6FE54803"/>
    <w:rsid w:val="6FE54985"/>
    <w:rsid w:val="6FE60FC7"/>
    <w:rsid w:val="6FE856E7"/>
    <w:rsid w:val="6FEC7554"/>
    <w:rsid w:val="6FF1283A"/>
    <w:rsid w:val="6FF4469C"/>
    <w:rsid w:val="6FF70359"/>
    <w:rsid w:val="6FF77C50"/>
    <w:rsid w:val="6FF90C4A"/>
    <w:rsid w:val="70563262"/>
    <w:rsid w:val="705873A3"/>
    <w:rsid w:val="709910D5"/>
    <w:rsid w:val="709B4AFB"/>
    <w:rsid w:val="70D216D3"/>
    <w:rsid w:val="70F659AE"/>
    <w:rsid w:val="711F373C"/>
    <w:rsid w:val="71534AAE"/>
    <w:rsid w:val="716C54B9"/>
    <w:rsid w:val="717C638C"/>
    <w:rsid w:val="719B216D"/>
    <w:rsid w:val="71A40936"/>
    <w:rsid w:val="71B752EE"/>
    <w:rsid w:val="71C66F16"/>
    <w:rsid w:val="71DB12A7"/>
    <w:rsid w:val="72106F1F"/>
    <w:rsid w:val="7211200F"/>
    <w:rsid w:val="722D57C7"/>
    <w:rsid w:val="724062B5"/>
    <w:rsid w:val="724A0704"/>
    <w:rsid w:val="724F46F0"/>
    <w:rsid w:val="7255143F"/>
    <w:rsid w:val="726436E6"/>
    <w:rsid w:val="72700C83"/>
    <w:rsid w:val="727870BC"/>
    <w:rsid w:val="727E6483"/>
    <w:rsid w:val="728453D5"/>
    <w:rsid w:val="72935827"/>
    <w:rsid w:val="729B6C7B"/>
    <w:rsid w:val="729B79DD"/>
    <w:rsid w:val="72A96531"/>
    <w:rsid w:val="72B6163B"/>
    <w:rsid w:val="72BB1BA7"/>
    <w:rsid w:val="72D051AC"/>
    <w:rsid w:val="72D05F60"/>
    <w:rsid w:val="72ED426C"/>
    <w:rsid w:val="72F91A90"/>
    <w:rsid w:val="730313CC"/>
    <w:rsid w:val="73035041"/>
    <w:rsid w:val="73073B1B"/>
    <w:rsid w:val="731C314C"/>
    <w:rsid w:val="732927A3"/>
    <w:rsid w:val="734333B2"/>
    <w:rsid w:val="73473252"/>
    <w:rsid w:val="73637990"/>
    <w:rsid w:val="73663A61"/>
    <w:rsid w:val="73671066"/>
    <w:rsid w:val="73812244"/>
    <w:rsid w:val="73861C37"/>
    <w:rsid w:val="73B02110"/>
    <w:rsid w:val="73CD7F8D"/>
    <w:rsid w:val="73CE0E30"/>
    <w:rsid w:val="73F95D4E"/>
    <w:rsid w:val="74044161"/>
    <w:rsid w:val="74194164"/>
    <w:rsid w:val="741C0ACA"/>
    <w:rsid w:val="742D6B25"/>
    <w:rsid w:val="744446C4"/>
    <w:rsid w:val="74524A6C"/>
    <w:rsid w:val="745D46B6"/>
    <w:rsid w:val="747E2170"/>
    <w:rsid w:val="749850D8"/>
    <w:rsid w:val="74994FF2"/>
    <w:rsid w:val="74A93ADB"/>
    <w:rsid w:val="74AB764B"/>
    <w:rsid w:val="74AF159D"/>
    <w:rsid w:val="74BA0C6B"/>
    <w:rsid w:val="74BB501E"/>
    <w:rsid w:val="74C03BE2"/>
    <w:rsid w:val="74EE31EA"/>
    <w:rsid w:val="74FA202A"/>
    <w:rsid w:val="74FA2880"/>
    <w:rsid w:val="75046088"/>
    <w:rsid w:val="75225CBF"/>
    <w:rsid w:val="75350693"/>
    <w:rsid w:val="75371C19"/>
    <w:rsid w:val="7546677D"/>
    <w:rsid w:val="7548684B"/>
    <w:rsid w:val="754B2AC0"/>
    <w:rsid w:val="754D466C"/>
    <w:rsid w:val="754F4CC4"/>
    <w:rsid w:val="755C32D8"/>
    <w:rsid w:val="756E0B0A"/>
    <w:rsid w:val="757031D9"/>
    <w:rsid w:val="75750081"/>
    <w:rsid w:val="75814167"/>
    <w:rsid w:val="75842DFC"/>
    <w:rsid w:val="759E72E5"/>
    <w:rsid w:val="75A667A1"/>
    <w:rsid w:val="75B9416A"/>
    <w:rsid w:val="75BE0722"/>
    <w:rsid w:val="75C247F2"/>
    <w:rsid w:val="75CD7BB5"/>
    <w:rsid w:val="763255D2"/>
    <w:rsid w:val="76437D02"/>
    <w:rsid w:val="764F1267"/>
    <w:rsid w:val="765120A6"/>
    <w:rsid w:val="76752AAE"/>
    <w:rsid w:val="767F05D4"/>
    <w:rsid w:val="76807564"/>
    <w:rsid w:val="76B0479B"/>
    <w:rsid w:val="76BF7D3D"/>
    <w:rsid w:val="76C52AEB"/>
    <w:rsid w:val="76D264D4"/>
    <w:rsid w:val="76E955C3"/>
    <w:rsid w:val="76F94659"/>
    <w:rsid w:val="76FD43AC"/>
    <w:rsid w:val="77123ACC"/>
    <w:rsid w:val="77181A42"/>
    <w:rsid w:val="771E16D3"/>
    <w:rsid w:val="77247924"/>
    <w:rsid w:val="772B1B20"/>
    <w:rsid w:val="773B78A9"/>
    <w:rsid w:val="77510935"/>
    <w:rsid w:val="77634F3B"/>
    <w:rsid w:val="777F4D61"/>
    <w:rsid w:val="77C522CE"/>
    <w:rsid w:val="77D36332"/>
    <w:rsid w:val="77D47475"/>
    <w:rsid w:val="77D558AA"/>
    <w:rsid w:val="77D62A56"/>
    <w:rsid w:val="77E62733"/>
    <w:rsid w:val="77ED4572"/>
    <w:rsid w:val="77F84B71"/>
    <w:rsid w:val="780E1955"/>
    <w:rsid w:val="78293DC3"/>
    <w:rsid w:val="782D2D9B"/>
    <w:rsid w:val="78333364"/>
    <w:rsid w:val="783A6B2F"/>
    <w:rsid w:val="783F4F70"/>
    <w:rsid w:val="78553BB8"/>
    <w:rsid w:val="785B4C20"/>
    <w:rsid w:val="785D218D"/>
    <w:rsid w:val="78AB4E34"/>
    <w:rsid w:val="78B8567C"/>
    <w:rsid w:val="78BD7F9F"/>
    <w:rsid w:val="78F7615B"/>
    <w:rsid w:val="78FD2962"/>
    <w:rsid w:val="79307089"/>
    <w:rsid w:val="79373219"/>
    <w:rsid w:val="794A4288"/>
    <w:rsid w:val="794C7980"/>
    <w:rsid w:val="7954036F"/>
    <w:rsid w:val="7963139E"/>
    <w:rsid w:val="7981755F"/>
    <w:rsid w:val="798B23A6"/>
    <w:rsid w:val="79981FE8"/>
    <w:rsid w:val="79A86542"/>
    <w:rsid w:val="79BE5E62"/>
    <w:rsid w:val="79BF626C"/>
    <w:rsid w:val="79D00261"/>
    <w:rsid w:val="79D72059"/>
    <w:rsid w:val="79EC33C3"/>
    <w:rsid w:val="7A1C1793"/>
    <w:rsid w:val="7A1C4DC7"/>
    <w:rsid w:val="7A2769D9"/>
    <w:rsid w:val="7A2E73B3"/>
    <w:rsid w:val="7A3A078E"/>
    <w:rsid w:val="7A45124E"/>
    <w:rsid w:val="7A4C7BCA"/>
    <w:rsid w:val="7A7051EE"/>
    <w:rsid w:val="7A7F307F"/>
    <w:rsid w:val="7A850292"/>
    <w:rsid w:val="7A864059"/>
    <w:rsid w:val="7A991285"/>
    <w:rsid w:val="7AAC03BC"/>
    <w:rsid w:val="7AB2157C"/>
    <w:rsid w:val="7AC179AB"/>
    <w:rsid w:val="7AC25CC5"/>
    <w:rsid w:val="7AC528C4"/>
    <w:rsid w:val="7ACE4545"/>
    <w:rsid w:val="7AE80992"/>
    <w:rsid w:val="7AE9752E"/>
    <w:rsid w:val="7AEC1055"/>
    <w:rsid w:val="7AF51135"/>
    <w:rsid w:val="7AFE078F"/>
    <w:rsid w:val="7B0320BB"/>
    <w:rsid w:val="7B1E76B6"/>
    <w:rsid w:val="7B5204F9"/>
    <w:rsid w:val="7B6E3852"/>
    <w:rsid w:val="7B745405"/>
    <w:rsid w:val="7B780677"/>
    <w:rsid w:val="7B9C23E8"/>
    <w:rsid w:val="7BAE3A12"/>
    <w:rsid w:val="7BCB44ED"/>
    <w:rsid w:val="7BCD7043"/>
    <w:rsid w:val="7BDA2B39"/>
    <w:rsid w:val="7BDF7110"/>
    <w:rsid w:val="7C0815E0"/>
    <w:rsid w:val="7C274E7E"/>
    <w:rsid w:val="7C280E42"/>
    <w:rsid w:val="7C7F4F3C"/>
    <w:rsid w:val="7C9B44B6"/>
    <w:rsid w:val="7C9C55B4"/>
    <w:rsid w:val="7CA544A2"/>
    <w:rsid w:val="7CAD59A1"/>
    <w:rsid w:val="7CB347D7"/>
    <w:rsid w:val="7CCD67D7"/>
    <w:rsid w:val="7CE21673"/>
    <w:rsid w:val="7CE2570E"/>
    <w:rsid w:val="7CF45745"/>
    <w:rsid w:val="7D295F33"/>
    <w:rsid w:val="7D393FED"/>
    <w:rsid w:val="7D4033FD"/>
    <w:rsid w:val="7D4D307B"/>
    <w:rsid w:val="7D4D5856"/>
    <w:rsid w:val="7D537A55"/>
    <w:rsid w:val="7D540062"/>
    <w:rsid w:val="7D737A9C"/>
    <w:rsid w:val="7D826F26"/>
    <w:rsid w:val="7D933791"/>
    <w:rsid w:val="7DAA16F6"/>
    <w:rsid w:val="7DE14EF9"/>
    <w:rsid w:val="7E183EEA"/>
    <w:rsid w:val="7E440B2B"/>
    <w:rsid w:val="7E4A22B2"/>
    <w:rsid w:val="7E4F61B6"/>
    <w:rsid w:val="7E6752B6"/>
    <w:rsid w:val="7E717A7B"/>
    <w:rsid w:val="7E80292D"/>
    <w:rsid w:val="7E805FD1"/>
    <w:rsid w:val="7E84382C"/>
    <w:rsid w:val="7E855AE7"/>
    <w:rsid w:val="7E9B065D"/>
    <w:rsid w:val="7E9D718F"/>
    <w:rsid w:val="7EA7411B"/>
    <w:rsid w:val="7EA874D5"/>
    <w:rsid w:val="7EAA0221"/>
    <w:rsid w:val="7EB02A3C"/>
    <w:rsid w:val="7EB714C1"/>
    <w:rsid w:val="7EB835B8"/>
    <w:rsid w:val="7EC301BA"/>
    <w:rsid w:val="7ED326C7"/>
    <w:rsid w:val="7EFB70B7"/>
    <w:rsid w:val="7F0A6F2E"/>
    <w:rsid w:val="7F21551C"/>
    <w:rsid w:val="7F251450"/>
    <w:rsid w:val="7F381A47"/>
    <w:rsid w:val="7F3932D6"/>
    <w:rsid w:val="7F3B3199"/>
    <w:rsid w:val="7F3D07F6"/>
    <w:rsid w:val="7F4D23DA"/>
    <w:rsid w:val="7F613C7E"/>
    <w:rsid w:val="7F666046"/>
    <w:rsid w:val="7F827F3A"/>
    <w:rsid w:val="7F912BF1"/>
    <w:rsid w:val="7FA4150B"/>
    <w:rsid w:val="7FA51D95"/>
    <w:rsid w:val="7FCC65E5"/>
    <w:rsid w:val="7FD25345"/>
    <w:rsid w:val="7FED79B9"/>
    <w:rsid w:val="7FF335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List Paragraph Char"/>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overflowPunct/>
      <w:autoSpaceDE/>
      <w:autoSpaceDN/>
      <w:adjustRightInd/>
      <w:spacing w:after="0"/>
      <w:ind w:left="567" w:hanging="283"/>
      <w:textAlignment w:val="auto"/>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uiPriority w:val="0"/>
    <w:rPr>
      <w:rFonts w:ascii="Arial" w:hAnsi="Arial" w:eastAsia="Times New Roman" w:cs="Arial"/>
      <w:sz w:val="18"/>
      <w:lang w:val="en-US" w:eastAsia="en-US"/>
    </w:rPr>
  </w:style>
  <w:style w:type="character" w:customStyle="1" w:styleId="85">
    <w:name w:val="TAH Car"/>
    <w:basedOn w:val="32"/>
    <w:uiPriority w:val="0"/>
    <w:rPr>
      <w:rFonts w:hint="default" w:ascii="Arial" w:hAnsi="Arial" w:eastAsia="Times New Roman" w:cs="Arial"/>
      <w:b/>
      <w:sz w:val="18"/>
      <w:lang w:val="en-US" w:eastAsia="en-US"/>
    </w:rPr>
  </w:style>
  <w:style w:type="character" w:customStyle="1" w:styleId="86">
    <w:name w:val="TAN Char"/>
    <w:basedOn w:val="32"/>
    <w:uiPriority w:val="0"/>
    <w:rPr>
      <w:rFonts w:hint="default" w:ascii="Arial" w:hAnsi="Arial" w:eastAsia="Times New Roman" w:cs="Arial"/>
      <w:sz w:val="18"/>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2025-03-28T07:40:49Z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